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78" w:lineRule="exact" w:before="26"/>
        <w:ind w:left="2100" w:right="1496" w:firstLine="0"/>
        <w:jc w:val="center"/>
        <w:rPr>
          <w:sz w:val="28"/>
        </w:rPr>
      </w:pPr>
      <w:r>
        <w:rPr>
          <w:sz w:val="28"/>
        </w:rPr>
        <w:t>國立中興大學</w:t>
      </w:r>
    </w:p>
    <w:p>
      <w:pPr>
        <w:spacing w:line="223" w:lineRule="auto" w:before="6"/>
        <w:ind w:left="2106" w:right="1496" w:firstLine="0"/>
        <w:jc w:val="center"/>
        <w:rPr>
          <w:sz w:val="28"/>
        </w:rPr>
      </w:pPr>
      <w:r>
        <w:rPr>
          <w:sz w:val="28"/>
        </w:rPr>
        <w:t>「國際獸醫防疫人才培訓中心暨獸醫教學醫院大樓新建工程」審查須知</w:t>
      </w:r>
    </w:p>
    <w:p>
      <w:pPr>
        <w:spacing w:line="370" w:lineRule="exact" w:before="0"/>
        <w:ind w:left="2102" w:right="1496" w:firstLine="0"/>
        <w:jc w:val="center"/>
        <w:rPr>
          <w:rFonts w:ascii="Times New Roman" w:eastAsia="Times New Roman"/>
          <w:sz w:val="28"/>
        </w:rPr>
      </w:pPr>
      <w:r>
        <w:rPr>
          <w:rFonts w:ascii="Times New Roman" w:eastAsia="Times New Roman"/>
          <w:sz w:val="28"/>
        </w:rPr>
        <w:t>(</w:t>
      </w:r>
      <w:r>
        <w:rPr>
          <w:sz w:val="28"/>
        </w:rPr>
        <w:t>評分及格最低標</w:t>
      </w:r>
      <w:r>
        <w:rPr>
          <w:rFonts w:ascii="Times New Roman" w:eastAsia="Times New Roman"/>
          <w:sz w:val="28"/>
        </w:rPr>
        <w:t>-</w:t>
      </w:r>
      <w:r>
        <w:rPr>
          <w:sz w:val="28"/>
        </w:rPr>
        <w:t>總評分法</w:t>
      </w:r>
      <w:r>
        <w:rPr>
          <w:rFonts w:ascii="Times New Roman" w:eastAsia="Times New Roman"/>
          <w:sz w:val="28"/>
        </w:rPr>
        <w:t>-</w:t>
      </w:r>
      <w:r>
        <w:rPr>
          <w:sz w:val="28"/>
        </w:rPr>
        <w:t>價格不納入評分</w:t>
      </w:r>
      <w:r>
        <w:rPr>
          <w:rFonts w:ascii="Times New Roman" w:eastAsia="Times New Roman"/>
          <w:sz w:val="28"/>
        </w:rPr>
        <w:t>)</w:t>
      </w:r>
    </w:p>
    <w:p>
      <w:pPr>
        <w:pStyle w:val="BodyText"/>
        <w:spacing w:line="335" w:lineRule="exact"/>
        <w:ind w:left="1398"/>
      </w:pPr>
      <w:r>
        <w:rPr>
          <w:spacing w:val="-1"/>
        </w:rPr>
        <w:t>第壹節、法令依據</w:t>
      </w:r>
    </w:p>
    <w:p>
      <w:pPr>
        <w:pStyle w:val="BodyText"/>
        <w:spacing w:line="256" w:lineRule="auto" w:before="24"/>
        <w:ind w:left="2355" w:right="1123" w:hanging="476"/>
        <w:jc w:val="both"/>
      </w:pPr>
      <w:r>
        <w:rPr>
          <w:spacing w:val="-10"/>
        </w:rPr>
        <w:t>一、依本案投標須知，並準用「採購評選委員會組織準則」、「採購評選委員會</w:t>
      </w:r>
      <w:r>
        <w:rPr/>
        <w:t>審議規則」及「最有利標評選辦法」等相關規定成立審查委員會及辦理審查。</w:t>
      </w:r>
    </w:p>
    <w:p>
      <w:pPr>
        <w:pStyle w:val="BodyText"/>
        <w:spacing w:before="3"/>
        <w:ind w:left="1398"/>
      </w:pPr>
      <w:r>
        <w:rPr/>
        <w:t>第貳節、服務建議書</w:t>
      </w:r>
      <w:r>
        <w:rPr>
          <w:rFonts w:ascii="Times New Roman" w:eastAsia="Times New Roman"/>
        </w:rPr>
        <w:t>(</w:t>
      </w:r>
      <w:r>
        <w:rPr/>
        <w:t>含附件</w:t>
      </w:r>
      <w:r>
        <w:rPr>
          <w:rFonts w:ascii="Times New Roman" w:eastAsia="Times New Roman"/>
        </w:rPr>
        <w:t>)</w:t>
      </w:r>
      <w:r>
        <w:rPr/>
        <w:t>內容</w:t>
      </w:r>
    </w:p>
    <w:p>
      <w:pPr>
        <w:pStyle w:val="BodyText"/>
        <w:spacing w:line="256" w:lineRule="auto" w:before="24"/>
        <w:ind w:left="2355" w:right="1123" w:hanging="476"/>
      </w:pPr>
      <w:r>
        <w:rPr/>
        <w:t>二、投標廠商提送服務建議書及其附件內容，應依本案招標文件規定之服務範圍及項目研擬，按下列規定撰寫，決標後並列為契約附件之一：</w:t>
      </w:r>
    </w:p>
    <w:p>
      <w:pPr>
        <w:pStyle w:val="BodyText"/>
        <w:spacing w:line="302" w:lineRule="exact"/>
        <w:ind w:left="0" w:right="1161"/>
        <w:jc w:val="right"/>
      </w:pPr>
      <w:r>
        <w:rPr/>
        <w:t>(一)服務建議書</w:t>
      </w:r>
      <w:r>
        <w:rPr>
          <w:rFonts w:ascii="Times New Roman" w:eastAsia="Times New Roman"/>
        </w:rPr>
        <w:t>(</w:t>
      </w:r>
      <w:r>
        <w:rPr/>
        <w:t>含附件</w:t>
      </w:r>
      <w:r>
        <w:rPr>
          <w:rFonts w:ascii="Times New Roman" w:eastAsia="Times New Roman"/>
        </w:rPr>
        <w:t>)</w:t>
      </w:r>
      <w:r>
        <w:rPr/>
        <w:t>【</w:t>
      </w:r>
      <w:r>
        <w:rPr>
          <w:rFonts w:ascii="Times New Roman" w:eastAsia="Times New Roman"/>
        </w:rPr>
        <w:t>11</w:t>
      </w:r>
      <w:r>
        <w:rPr/>
        <w:t>】份（</w:t>
      </w:r>
      <w:r>
        <w:rPr>
          <w:spacing w:val="-20"/>
        </w:rPr>
        <w:t>正本 </w:t>
      </w:r>
      <w:r>
        <w:rPr>
          <w:rFonts w:ascii="Times New Roman" w:eastAsia="Times New Roman"/>
        </w:rPr>
        <w:t>1 </w:t>
      </w:r>
      <w:r>
        <w:rPr/>
        <w:t>份，副本【</w:t>
      </w:r>
      <w:r>
        <w:rPr>
          <w:rFonts w:ascii="Times New Roman" w:eastAsia="Times New Roman"/>
        </w:rPr>
        <w:t>10</w:t>
      </w:r>
      <w:r>
        <w:rPr/>
        <w:t>】份），須標示</w:t>
      </w:r>
    </w:p>
    <w:p>
      <w:pPr>
        <w:pStyle w:val="BodyText"/>
        <w:spacing w:line="312" w:lineRule="exact"/>
        <w:ind w:left="0" w:right="1117"/>
        <w:jc w:val="right"/>
        <w:rPr>
          <w:rFonts w:ascii="Times New Roman" w:eastAsia="Times New Roman"/>
        </w:rPr>
      </w:pPr>
      <w:r>
        <w:rPr>
          <w:w w:val="95"/>
        </w:rPr>
        <w:t>正副本，正本及副本內容有異時，以正本為準；服務建議書之光碟</w:t>
      </w:r>
      <w:r>
        <w:rPr>
          <w:spacing w:val="294"/>
        </w:rPr>
        <w:t> </w:t>
      </w:r>
      <w:r>
        <w:rPr>
          <w:rFonts w:ascii="Times New Roman" w:eastAsia="Times New Roman"/>
          <w:w w:val="95"/>
        </w:rPr>
        <w:t>1</w:t>
      </w:r>
    </w:p>
    <w:p>
      <w:pPr>
        <w:pStyle w:val="BodyText"/>
        <w:spacing w:line="312" w:lineRule="exact"/>
      </w:pPr>
      <w:r>
        <w:rPr/>
        <w:t>份。</w:t>
      </w:r>
    </w:p>
    <w:p>
      <w:pPr>
        <w:pStyle w:val="BodyText"/>
        <w:spacing w:line="312" w:lineRule="exact"/>
        <w:ind w:left="2401"/>
      </w:pPr>
      <w:r>
        <w:rPr/>
        <w:t>(二)服務建議書主文：</w:t>
      </w:r>
    </w:p>
    <w:p>
      <w:pPr>
        <w:pStyle w:val="ListParagraph"/>
        <w:numPr>
          <w:ilvl w:val="0"/>
          <w:numId w:val="1"/>
        </w:numPr>
        <w:tabs>
          <w:tab w:pos="3122" w:val="left" w:leader="none"/>
        </w:tabs>
        <w:spacing w:line="223" w:lineRule="auto" w:before="5" w:after="0"/>
        <w:ind w:left="3121" w:right="1082" w:hanging="360"/>
        <w:jc w:val="both"/>
        <w:rPr>
          <w:sz w:val="24"/>
        </w:rPr>
      </w:pPr>
      <w:r>
        <w:rPr>
          <w:spacing w:val="-1"/>
          <w:sz w:val="24"/>
        </w:rPr>
        <w:t>服務建議書封面：標題統一為【國立中興大學、國際獸醫防疫人才</w:t>
      </w:r>
      <w:r>
        <w:rPr>
          <w:sz w:val="24"/>
        </w:rPr>
        <w:t>培訓中心暨獸醫教學醫院大樓新建工程】服務建議書。</w:t>
      </w:r>
    </w:p>
    <w:p>
      <w:pPr>
        <w:pStyle w:val="ListParagraph"/>
        <w:numPr>
          <w:ilvl w:val="0"/>
          <w:numId w:val="1"/>
        </w:numPr>
        <w:tabs>
          <w:tab w:pos="3122" w:val="left" w:leader="none"/>
        </w:tabs>
        <w:spacing w:line="223" w:lineRule="auto" w:before="2" w:after="0"/>
        <w:ind w:left="3121" w:right="1082" w:hanging="360"/>
        <w:jc w:val="both"/>
        <w:rPr>
          <w:sz w:val="24"/>
        </w:rPr>
      </w:pPr>
      <w:r>
        <w:rPr>
          <w:spacing w:val="-1"/>
          <w:sz w:val="24"/>
        </w:rPr>
        <w:t>服務建議書正本首頁請標示廠商名稱，並蓋廠商及負責人印章或簽署，倘投標廠商未蓋廠商及負責人印章或簽署，本校得洽廠商澄清</w:t>
      </w:r>
      <w:r>
        <w:rPr>
          <w:sz w:val="24"/>
        </w:rPr>
        <w:t>更正。</w:t>
      </w:r>
    </w:p>
    <w:p>
      <w:pPr>
        <w:pStyle w:val="ListParagraph"/>
        <w:numPr>
          <w:ilvl w:val="0"/>
          <w:numId w:val="1"/>
        </w:numPr>
        <w:tabs>
          <w:tab w:pos="3122" w:val="left" w:leader="none"/>
        </w:tabs>
        <w:spacing w:line="223" w:lineRule="auto" w:before="0" w:after="0"/>
        <w:ind w:left="3121" w:right="1082" w:hanging="360"/>
        <w:jc w:val="both"/>
        <w:rPr>
          <w:sz w:val="24"/>
        </w:rPr>
      </w:pPr>
      <w:r>
        <w:rPr>
          <w:spacing w:val="-1"/>
          <w:sz w:val="24"/>
        </w:rPr>
        <w:t>服務建議書內容：服務建議書內容</w:t>
      </w:r>
      <w:r>
        <w:rPr>
          <w:sz w:val="24"/>
        </w:rPr>
        <w:t>（主文部分）應至少涵蓋下列項目，投標廠商應依審查項目依序撰擬。</w:t>
      </w:r>
    </w:p>
    <w:tbl>
      <w:tblPr>
        <w:tblW w:w="0" w:type="auto"/>
        <w:jc w:val="left"/>
        <w:tblInd w:w="15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86"/>
        <w:gridCol w:w="1751"/>
        <w:gridCol w:w="3390"/>
        <w:gridCol w:w="2661"/>
      </w:tblGrid>
      <w:tr>
        <w:trPr>
          <w:trHeight w:val="625" w:hRule="atLeast"/>
        </w:trPr>
        <w:tc>
          <w:tcPr>
            <w:tcW w:w="586" w:type="dxa"/>
            <w:tcBorders>
              <w:bottom w:val="double" w:sz="4" w:space="0" w:color="000000"/>
              <w:right w:val="single" w:sz="6" w:space="0" w:color="000000"/>
            </w:tcBorders>
          </w:tcPr>
          <w:p>
            <w:pPr>
              <w:pStyle w:val="TableParagraph"/>
              <w:spacing w:line="319" w:lineRule="exact"/>
              <w:ind w:left="31" w:right="11"/>
              <w:jc w:val="center"/>
              <w:rPr>
                <w:sz w:val="24"/>
              </w:rPr>
            </w:pPr>
            <w:r>
              <w:rPr>
                <w:sz w:val="24"/>
              </w:rPr>
              <w:t>項次</w:t>
            </w:r>
          </w:p>
        </w:tc>
        <w:tc>
          <w:tcPr>
            <w:tcW w:w="1751" w:type="dxa"/>
            <w:tcBorders>
              <w:left w:val="single" w:sz="6" w:space="0" w:color="000000"/>
              <w:bottom w:val="double" w:sz="4" w:space="0" w:color="000000"/>
              <w:right w:val="single" w:sz="6" w:space="0" w:color="000000"/>
            </w:tcBorders>
          </w:tcPr>
          <w:p>
            <w:pPr>
              <w:pStyle w:val="TableParagraph"/>
              <w:spacing w:line="319" w:lineRule="exact"/>
              <w:ind w:left="354"/>
              <w:rPr>
                <w:sz w:val="24"/>
              </w:rPr>
            </w:pPr>
            <w:r>
              <w:rPr>
                <w:sz w:val="24"/>
              </w:rPr>
              <w:t>審查項目</w:t>
            </w:r>
          </w:p>
        </w:tc>
        <w:tc>
          <w:tcPr>
            <w:tcW w:w="3390" w:type="dxa"/>
            <w:tcBorders>
              <w:left w:val="single" w:sz="6" w:space="0" w:color="000000"/>
              <w:bottom w:val="double" w:sz="4" w:space="0" w:color="000000"/>
              <w:right w:val="single" w:sz="6" w:space="0" w:color="000000"/>
            </w:tcBorders>
          </w:tcPr>
          <w:p>
            <w:pPr>
              <w:pStyle w:val="TableParagraph"/>
              <w:spacing w:line="319" w:lineRule="exact"/>
              <w:ind w:left="380"/>
              <w:rPr>
                <w:sz w:val="24"/>
              </w:rPr>
            </w:pPr>
            <w:r>
              <w:rPr>
                <w:sz w:val="24"/>
              </w:rPr>
              <w:t>服務建議書撰擬重點規定</w:t>
            </w:r>
          </w:p>
        </w:tc>
        <w:tc>
          <w:tcPr>
            <w:tcW w:w="2661" w:type="dxa"/>
            <w:tcBorders>
              <w:left w:val="single" w:sz="6" w:space="0" w:color="000000"/>
              <w:bottom w:val="double" w:sz="4" w:space="0" w:color="000000"/>
            </w:tcBorders>
          </w:tcPr>
          <w:p>
            <w:pPr>
              <w:pStyle w:val="TableParagraph"/>
              <w:spacing w:line="307" w:lineRule="exact"/>
              <w:ind w:left="94" w:right="104"/>
              <w:jc w:val="center"/>
              <w:rPr>
                <w:sz w:val="24"/>
              </w:rPr>
            </w:pPr>
            <w:r>
              <w:rPr>
                <w:sz w:val="24"/>
              </w:rPr>
              <w:t>服務建議書附件應附文</w:t>
            </w:r>
          </w:p>
          <w:p>
            <w:pPr>
              <w:pStyle w:val="TableParagraph"/>
              <w:spacing w:line="298" w:lineRule="exact"/>
              <w:ind w:right="10"/>
              <w:jc w:val="center"/>
              <w:rPr>
                <w:sz w:val="24"/>
              </w:rPr>
            </w:pPr>
            <w:r>
              <w:rPr>
                <w:sz w:val="24"/>
              </w:rPr>
              <w:t>件</w:t>
            </w:r>
          </w:p>
        </w:tc>
      </w:tr>
      <w:tr>
        <w:trPr>
          <w:trHeight w:val="4370" w:hRule="atLeast"/>
        </w:trPr>
        <w:tc>
          <w:tcPr>
            <w:tcW w:w="586" w:type="dxa"/>
            <w:tcBorders>
              <w:top w:val="double" w:sz="4" w:space="0" w:color="000000"/>
              <w:bottom w:val="single" w:sz="6" w:space="0" w:color="000000"/>
              <w:right w:val="single" w:sz="6" w:space="0" w:color="000000"/>
            </w:tcBorders>
          </w:tcPr>
          <w:p>
            <w:pPr>
              <w:pStyle w:val="TableParagraph"/>
              <w:spacing w:line="270" w:lineRule="exact"/>
              <w:ind w:left="20"/>
              <w:jc w:val="center"/>
              <w:rPr>
                <w:rFonts w:ascii="Times New Roman"/>
                <w:sz w:val="24"/>
              </w:rPr>
            </w:pPr>
            <w:r>
              <w:rPr>
                <w:rFonts w:ascii="Times New Roman"/>
                <w:sz w:val="24"/>
              </w:rPr>
              <w:t>1</w:t>
            </w:r>
          </w:p>
        </w:tc>
        <w:tc>
          <w:tcPr>
            <w:tcW w:w="1751" w:type="dxa"/>
            <w:tcBorders>
              <w:top w:val="double" w:sz="4" w:space="0" w:color="000000"/>
              <w:left w:val="single" w:sz="6" w:space="0" w:color="000000"/>
              <w:bottom w:val="single" w:sz="6" w:space="0" w:color="000000"/>
              <w:right w:val="single" w:sz="6" w:space="0" w:color="000000"/>
            </w:tcBorders>
          </w:tcPr>
          <w:p>
            <w:pPr>
              <w:pStyle w:val="TableParagraph"/>
              <w:spacing w:line="223" w:lineRule="auto"/>
              <w:ind w:left="114" w:right="179"/>
              <w:rPr>
                <w:sz w:val="24"/>
              </w:rPr>
            </w:pPr>
            <w:r>
              <w:rPr>
                <w:spacing w:val="-1"/>
                <w:sz w:val="24"/>
              </w:rPr>
              <w:t>近五年內履約</w:t>
            </w:r>
            <w:r>
              <w:rPr>
                <w:sz w:val="24"/>
              </w:rPr>
              <w:t>績效情形</w:t>
            </w:r>
          </w:p>
        </w:tc>
        <w:tc>
          <w:tcPr>
            <w:tcW w:w="3390" w:type="dxa"/>
            <w:tcBorders>
              <w:top w:val="double" w:sz="4" w:space="0" w:color="000000"/>
              <w:left w:val="single" w:sz="6" w:space="0" w:color="000000"/>
              <w:bottom w:val="single" w:sz="6" w:space="0" w:color="000000"/>
              <w:right w:val="single" w:sz="6" w:space="0" w:color="000000"/>
            </w:tcBorders>
          </w:tcPr>
          <w:p>
            <w:pPr>
              <w:pStyle w:val="TableParagraph"/>
              <w:numPr>
                <w:ilvl w:val="0"/>
                <w:numId w:val="2"/>
              </w:numPr>
              <w:tabs>
                <w:tab w:pos="594" w:val="left" w:leader="none"/>
              </w:tabs>
              <w:spacing w:line="307" w:lineRule="exact" w:before="0" w:after="0"/>
              <w:ind w:left="593" w:right="0" w:hanging="481"/>
              <w:jc w:val="both"/>
              <w:rPr>
                <w:sz w:val="24"/>
              </w:rPr>
            </w:pPr>
            <w:r>
              <w:rPr>
                <w:sz w:val="24"/>
              </w:rPr>
              <w:t>工程內容認知。</w:t>
            </w:r>
          </w:p>
          <w:p>
            <w:pPr>
              <w:pStyle w:val="TableParagraph"/>
              <w:numPr>
                <w:ilvl w:val="0"/>
                <w:numId w:val="2"/>
              </w:numPr>
              <w:tabs>
                <w:tab w:pos="594" w:val="left" w:leader="none"/>
              </w:tabs>
              <w:spacing w:line="223" w:lineRule="auto" w:before="5" w:after="0"/>
              <w:ind w:left="593" w:right="139" w:hanging="480"/>
              <w:jc w:val="both"/>
              <w:rPr>
                <w:sz w:val="24"/>
              </w:rPr>
            </w:pPr>
            <w:r>
              <w:rPr>
                <w:spacing w:val="-1"/>
                <w:sz w:val="24"/>
              </w:rPr>
              <w:t>公司組織簡介及人力、設備資源、目前承攬之尚在執行中工程及其人力配置</w:t>
            </w:r>
            <w:r>
              <w:rPr>
                <w:sz w:val="24"/>
              </w:rPr>
              <w:t>現況。</w:t>
            </w:r>
          </w:p>
          <w:p>
            <w:pPr>
              <w:pStyle w:val="TableParagraph"/>
              <w:numPr>
                <w:ilvl w:val="0"/>
                <w:numId w:val="2"/>
              </w:numPr>
              <w:tabs>
                <w:tab w:pos="594" w:val="left" w:leader="none"/>
              </w:tabs>
              <w:spacing w:line="308" w:lineRule="exact" w:before="0" w:after="0"/>
              <w:ind w:left="593" w:right="0" w:hanging="481"/>
              <w:jc w:val="both"/>
              <w:rPr>
                <w:sz w:val="24"/>
              </w:rPr>
            </w:pPr>
            <w:r>
              <w:rPr>
                <w:sz w:val="24"/>
              </w:rPr>
              <w:t>工程實績說明</w:t>
            </w:r>
          </w:p>
          <w:p>
            <w:pPr>
              <w:pStyle w:val="TableParagraph"/>
              <w:spacing w:line="223" w:lineRule="auto" w:before="6"/>
              <w:ind w:left="593" w:right="297"/>
              <w:rPr>
                <w:b/>
                <w:sz w:val="24"/>
              </w:rPr>
            </w:pPr>
            <w:r>
              <w:rPr>
                <w:rFonts w:ascii="Times New Roman" w:eastAsia="Times New Roman"/>
                <w:b/>
                <w:spacing w:val="-1"/>
                <w:sz w:val="24"/>
              </w:rPr>
              <w:t>(</w:t>
            </w:r>
            <w:r>
              <w:rPr>
                <w:b/>
                <w:spacing w:val="-1"/>
                <w:sz w:val="24"/>
              </w:rPr>
              <w:t>應提出近五年內非列為拒絕往來廠商之紀錄</w:t>
            </w:r>
            <w:r>
              <w:rPr>
                <w:rFonts w:ascii="Times New Roman" w:eastAsia="Times New Roman"/>
                <w:b/>
                <w:sz w:val="24"/>
              </w:rPr>
              <w:t>)</w:t>
            </w:r>
            <w:r>
              <w:rPr>
                <w:b/>
                <w:sz w:val="24"/>
              </w:rPr>
              <w:t>。</w:t>
            </w:r>
          </w:p>
          <w:p>
            <w:pPr>
              <w:pStyle w:val="TableParagraph"/>
              <w:numPr>
                <w:ilvl w:val="0"/>
                <w:numId w:val="2"/>
              </w:numPr>
              <w:tabs>
                <w:tab w:pos="593" w:val="left" w:leader="none"/>
                <w:tab w:pos="594" w:val="left" w:leader="none"/>
              </w:tabs>
              <w:spacing w:line="223" w:lineRule="auto" w:before="0" w:after="0"/>
              <w:ind w:left="593" w:right="298" w:hanging="480"/>
              <w:jc w:val="left"/>
              <w:rPr>
                <w:b/>
                <w:sz w:val="24"/>
              </w:rPr>
            </w:pPr>
            <w:r>
              <w:rPr>
                <w:spacing w:val="-1"/>
                <w:sz w:val="24"/>
              </w:rPr>
              <w:t>公司財務狀況</w:t>
            </w:r>
            <w:r>
              <w:rPr>
                <w:rFonts w:ascii="Times New Roman" w:eastAsia="Times New Roman"/>
                <w:b/>
                <w:sz w:val="24"/>
              </w:rPr>
              <w:t>(</w:t>
            </w:r>
            <w:r>
              <w:rPr>
                <w:b/>
                <w:sz w:val="24"/>
              </w:rPr>
              <w:t>應提出相關佐證資料</w:t>
            </w:r>
            <w:r>
              <w:rPr>
                <w:rFonts w:ascii="Times New Roman" w:eastAsia="Times New Roman"/>
                <w:b/>
                <w:sz w:val="24"/>
              </w:rPr>
              <w:t>)</w:t>
            </w:r>
            <w:r>
              <w:rPr>
                <w:b/>
                <w:sz w:val="24"/>
              </w:rPr>
              <w:t>。</w:t>
            </w:r>
          </w:p>
          <w:p>
            <w:pPr>
              <w:pStyle w:val="TableParagraph"/>
              <w:numPr>
                <w:ilvl w:val="0"/>
                <w:numId w:val="2"/>
              </w:numPr>
              <w:tabs>
                <w:tab w:pos="594" w:val="left" w:leader="none"/>
              </w:tabs>
              <w:spacing w:line="223" w:lineRule="auto" w:before="0" w:after="0"/>
              <w:ind w:left="593" w:right="139" w:hanging="480"/>
              <w:jc w:val="both"/>
              <w:rPr>
                <w:sz w:val="24"/>
              </w:rPr>
            </w:pPr>
            <w:r>
              <w:rPr>
                <w:spacing w:val="-1"/>
                <w:sz w:val="24"/>
              </w:rPr>
              <w:t>近五年內被查核紀錄、近五年金質獎獲獎情形、其他獲獎情形、相關懲處情</w:t>
            </w:r>
          </w:p>
          <w:p>
            <w:pPr>
              <w:pStyle w:val="TableParagraph"/>
              <w:spacing w:line="291" w:lineRule="exact"/>
              <w:ind w:left="593"/>
              <w:rPr>
                <w:sz w:val="24"/>
              </w:rPr>
            </w:pPr>
            <w:r>
              <w:rPr>
                <w:sz w:val="24"/>
              </w:rPr>
              <w:t>形。</w:t>
            </w:r>
          </w:p>
        </w:tc>
        <w:tc>
          <w:tcPr>
            <w:tcW w:w="2661" w:type="dxa"/>
            <w:tcBorders>
              <w:top w:val="double" w:sz="4" w:space="0" w:color="000000"/>
              <w:left w:val="single" w:sz="6" w:space="0" w:color="000000"/>
              <w:bottom w:val="single" w:sz="6" w:space="0" w:color="000000"/>
            </w:tcBorders>
          </w:tcPr>
          <w:p>
            <w:pPr>
              <w:pStyle w:val="TableParagraph"/>
              <w:spacing w:line="319" w:lineRule="exact"/>
              <w:ind w:left="112"/>
              <w:rPr>
                <w:sz w:val="24"/>
              </w:rPr>
            </w:pPr>
            <w:r>
              <w:rPr>
                <w:sz w:val="24"/>
              </w:rPr>
              <w:t>實績，及其財力証明</w:t>
            </w:r>
          </w:p>
        </w:tc>
      </w:tr>
      <w:tr>
        <w:trPr>
          <w:trHeight w:val="935" w:hRule="atLeast"/>
        </w:trPr>
        <w:tc>
          <w:tcPr>
            <w:tcW w:w="586" w:type="dxa"/>
            <w:tcBorders>
              <w:top w:val="single" w:sz="6" w:space="0" w:color="000000"/>
              <w:right w:val="single" w:sz="6" w:space="0" w:color="000000"/>
            </w:tcBorders>
          </w:tcPr>
          <w:p>
            <w:pPr>
              <w:pStyle w:val="TableParagraph"/>
              <w:spacing w:line="270" w:lineRule="exact"/>
              <w:ind w:left="20"/>
              <w:jc w:val="center"/>
              <w:rPr>
                <w:rFonts w:ascii="Times New Roman"/>
                <w:sz w:val="24"/>
              </w:rPr>
            </w:pPr>
            <w:r>
              <w:rPr>
                <w:rFonts w:ascii="Times New Roman"/>
                <w:sz w:val="24"/>
              </w:rPr>
              <w:t>2</w:t>
            </w:r>
          </w:p>
        </w:tc>
        <w:tc>
          <w:tcPr>
            <w:tcW w:w="1751" w:type="dxa"/>
            <w:tcBorders>
              <w:top w:val="single" w:sz="6" w:space="0" w:color="000000"/>
              <w:left w:val="single" w:sz="6" w:space="0" w:color="000000"/>
              <w:right w:val="single" w:sz="6" w:space="0" w:color="000000"/>
            </w:tcBorders>
          </w:tcPr>
          <w:p>
            <w:pPr>
              <w:pStyle w:val="TableParagraph"/>
              <w:spacing w:line="223" w:lineRule="auto"/>
              <w:ind w:left="114" w:right="179"/>
              <w:rPr>
                <w:sz w:val="24"/>
              </w:rPr>
            </w:pPr>
            <w:r>
              <w:rPr>
                <w:spacing w:val="-1"/>
                <w:sz w:val="24"/>
              </w:rPr>
              <w:t>本案團隊組織及主要工作人</w:t>
            </w:r>
          </w:p>
          <w:p>
            <w:pPr>
              <w:pStyle w:val="TableParagraph"/>
              <w:spacing w:line="291" w:lineRule="exact"/>
              <w:ind w:left="114"/>
              <w:rPr>
                <w:sz w:val="24"/>
              </w:rPr>
            </w:pPr>
            <w:r>
              <w:rPr>
                <w:sz w:val="24"/>
              </w:rPr>
              <w:t>員學經歷</w:t>
            </w:r>
          </w:p>
        </w:tc>
        <w:tc>
          <w:tcPr>
            <w:tcW w:w="3390" w:type="dxa"/>
            <w:tcBorders>
              <w:top w:val="single" w:sz="6" w:space="0" w:color="000000"/>
              <w:left w:val="single" w:sz="6" w:space="0" w:color="000000"/>
              <w:right w:val="single" w:sz="6" w:space="0" w:color="000000"/>
            </w:tcBorders>
          </w:tcPr>
          <w:p>
            <w:pPr>
              <w:pStyle w:val="TableParagraph"/>
              <w:spacing w:line="223" w:lineRule="auto"/>
              <w:ind w:left="113" w:right="139"/>
              <w:rPr>
                <w:sz w:val="24"/>
              </w:rPr>
            </w:pPr>
            <w:r>
              <w:rPr>
                <w:spacing w:val="-1"/>
                <w:sz w:val="24"/>
              </w:rPr>
              <w:t>實際執行人員之經驗及專業能力，含人力配置計畫、專業證</w:t>
            </w:r>
          </w:p>
          <w:p>
            <w:pPr>
              <w:pStyle w:val="TableParagraph"/>
              <w:spacing w:line="291" w:lineRule="exact"/>
              <w:ind w:left="113"/>
              <w:rPr>
                <w:sz w:val="24"/>
              </w:rPr>
            </w:pPr>
            <w:r>
              <w:rPr>
                <w:sz w:val="24"/>
              </w:rPr>
              <w:t>照佐證等。</w:t>
            </w:r>
          </w:p>
        </w:tc>
        <w:tc>
          <w:tcPr>
            <w:tcW w:w="2661" w:type="dxa"/>
            <w:tcBorders>
              <w:top w:val="single" w:sz="6" w:space="0" w:color="000000"/>
              <w:left w:val="single" w:sz="6" w:space="0" w:color="000000"/>
            </w:tcBorders>
          </w:tcPr>
          <w:p>
            <w:pPr>
              <w:pStyle w:val="TableParagraph"/>
              <w:spacing w:line="223" w:lineRule="auto"/>
              <w:ind w:left="112" w:right="123"/>
              <w:rPr>
                <w:sz w:val="24"/>
              </w:rPr>
            </w:pPr>
            <w:r>
              <w:rPr>
                <w:spacing w:val="-1"/>
                <w:sz w:val="24"/>
              </w:rPr>
              <w:t>主要工作人員學歷、經</w:t>
            </w:r>
            <w:r>
              <w:rPr>
                <w:sz w:val="24"/>
              </w:rPr>
              <w:t>歷證明、專業證照</w:t>
            </w:r>
          </w:p>
        </w:tc>
      </w:tr>
    </w:tbl>
    <w:p>
      <w:pPr>
        <w:spacing w:after="0" w:line="223" w:lineRule="auto"/>
        <w:rPr>
          <w:sz w:val="24"/>
        </w:rPr>
        <w:sectPr>
          <w:type w:val="continuous"/>
          <w:pgSz w:w="11910" w:h="16850"/>
          <w:pgMar w:top="1400" w:bottom="280" w:left="400" w:right="340"/>
        </w:sectPr>
      </w:pPr>
    </w:p>
    <w:tbl>
      <w:tblPr>
        <w:tblW w:w="0" w:type="auto"/>
        <w:jc w:val="left"/>
        <w:tblInd w:w="15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86"/>
        <w:gridCol w:w="1751"/>
        <w:gridCol w:w="3390"/>
        <w:gridCol w:w="2661"/>
      </w:tblGrid>
      <w:tr>
        <w:trPr>
          <w:trHeight w:val="2497" w:hRule="atLeast"/>
        </w:trPr>
        <w:tc>
          <w:tcPr>
            <w:tcW w:w="586" w:type="dxa"/>
            <w:tcBorders>
              <w:bottom w:val="single" w:sz="6" w:space="0" w:color="000000"/>
              <w:right w:val="single" w:sz="6" w:space="0" w:color="000000"/>
            </w:tcBorders>
          </w:tcPr>
          <w:p>
            <w:pPr>
              <w:pStyle w:val="TableParagraph"/>
              <w:spacing w:line="275" w:lineRule="exact"/>
              <w:ind w:left="20"/>
              <w:jc w:val="center"/>
              <w:rPr>
                <w:rFonts w:ascii="Times New Roman"/>
                <w:sz w:val="24"/>
              </w:rPr>
            </w:pPr>
            <w:r>
              <w:rPr>
                <w:rFonts w:ascii="Times New Roman"/>
                <w:sz w:val="24"/>
              </w:rPr>
              <w:t>3</w:t>
            </w:r>
          </w:p>
        </w:tc>
        <w:tc>
          <w:tcPr>
            <w:tcW w:w="1751" w:type="dxa"/>
            <w:tcBorders>
              <w:left w:val="single" w:sz="6" w:space="0" w:color="000000"/>
              <w:bottom w:val="single" w:sz="6" w:space="0" w:color="000000"/>
              <w:right w:val="single" w:sz="6" w:space="0" w:color="000000"/>
            </w:tcBorders>
          </w:tcPr>
          <w:p>
            <w:pPr>
              <w:pStyle w:val="TableParagraph"/>
              <w:spacing w:line="223" w:lineRule="auto" w:before="7"/>
              <w:ind w:left="114" w:right="179"/>
              <w:rPr>
                <w:sz w:val="24"/>
              </w:rPr>
            </w:pPr>
            <w:r>
              <w:rPr>
                <w:sz w:val="24"/>
              </w:rPr>
              <w:t>工程組織管</w:t>
            </w:r>
            <w:r>
              <w:rPr>
                <w:spacing w:val="1"/>
                <w:sz w:val="24"/>
              </w:rPr>
              <w:t> </w:t>
            </w:r>
            <w:r>
              <w:rPr>
                <w:spacing w:val="-1"/>
                <w:sz w:val="24"/>
              </w:rPr>
              <w:t>理、施工及品</w:t>
            </w:r>
            <w:r>
              <w:rPr>
                <w:sz w:val="24"/>
              </w:rPr>
              <w:t>質執行能力</w:t>
            </w:r>
          </w:p>
        </w:tc>
        <w:tc>
          <w:tcPr>
            <w:tcW w:w="3390" w:type="dxa"/>
            <w:tcBorders>
              <w:left w:val="single" w:sz="6" w:space="0" w:color="000000"/>
              <w:bottom w:val="single" w:sz="6" w:space="0" w:color="000000"/>
              <w:right w:val="single" w:sz="6" w:space="0" w:color="000000"/>
            </w:tcBorders>
          </w:tcPr>
          <w:p>
            <w:pPr>
              <w:pStyle w:val="TableParagraph"/>
              <w:numPr>
                <w:ilvl w:val="0"/>
                <w:numId w:val="3"/>
              </w:numPr>
              <w:tabs>
                <w:tab w:pos="593" w:val="left" w:leader="none"/>
                <w:tab w:pos="594" w:val="left" w:leader="none"/>
              </w:tabs>
              <w:spacing w:line="223" w:lineRule="auto" w:before="7" w:after="0"/>
              <w:ind w:left="593" w:right="139" w:hanging="480"/>
              <w:jc w:val="left"/>
              <w:rPr>
                <w:sz w:val="24"/>
              </w:rPr>
            </w:pPr>
            <w:r>
              <w:rPr>
                <w:sz w:val="24"/>
              </w:rPr>
              <w:t>施工規劃</w:t>
            </w:r>
            <w:r>
              <w:rPr>
                <w:rFonts w:ascii="Times New Roman" w:eastAsia="Times New Roman"/>
                <w:sz w:val="24"/>
              </w:rPr>
              <w:t>(</w:t>
            </w:r>
            <w:r>
              <w:rPr>
                <w:sz w:val="24"/>
              </w:rPr>
              <w:t>例如</w:t>
            </w:r>
            <w:r>
              <w:rPr>
                <w:rFonts w:ascii="Times New Roman" w:eastAsia="Times New Roman"/>
                <w:sz w:val="24"/>
              </w:rPr>
              <w:t>:</w:t>
            </w:r>
            <w:r>
              <w:rPr>
                <w:sz w:val="24"/>
              </w:rPr>
              <w:t>工區配置</w:t>
            </w:r>
            <w:r>
              <w:rPr>
                <w:spacing w:val="-1"/>
                <w:sz w:val="24"/>
              </w:rPr>
              <w:t>及動線、假設工程、工料來源及機具調度、現有植</w:t>
            </w:r>
            <w:r>
              <w:rPr>
                <w:sz w:val="24"/>
              </w:rPr>
              <w:t>栽防護</w:t>
            </w:r>
            <w:r>
              <w:rPr>
                <w:rFonts w:ascii="Times New Roman" w:eastAsia="Times New Roman"/>
                <w:sz w:val="24"/>
              </w:rPr>
              <w:t>)</w:t>
            </w:r>
            <w:r>
              <w:rPr>
                <w:sz w:val="24"/>
              </w:rPr>
              <w:t>。</w:t>
            </w:r>
          </w:p>
          <w:p>
            <w:pPr>
              <w:pStyle w:val="TableParagraph"/>
              <w:numPr>
                <w:ilvl w:val="0"/>
                <w:numId w:val="3"/>
              </w:numPr>
              <w:tabs>
                <w:tab w:pos="593" w:val="left" w:leader="none"/>
                <w:tab w:pos="594" w:val="left" w:leader="none"/>
              </w:tabs>
              <w:spacing w:line="223" w:lineRule="auto" w:before="0" w:after="0"/>
              <w:ind w:left="593" w:right="379" w:hanging="480"/>
              <w:jc w:val="left"/>
              <w:rPr>
                <w:sz w:val="24"/>
              </w:rPr>
            </w:pPr>
            <w:r>
              <w:rPr>
                <w:spacing w:val="-1"/>
                <w:sz w:val="24"/>
              </w:rPr>
              <w:t>關鍵課題分析及因應措</w:t>
            </w:r>
            <w:r>
              <w:rPr>
                <w:sz w:val="24"/>
              </w:rPr>
              <w:t>施。</w:t>
            </w:r>
          </w:p>
          <w:p>
            <w:pPr>
              <w:pStyle w:val="TableParagraph"/>
              <w:numPr>
                <w:ilvl w:val="0"/>
                <w:numId w:val="3"/>
              </w:numPr>
              <w:tabs>
                <w:tab w:pos="593" w:val="left" w:leader="none"/>
                <w:tab w:pos="594" w:val="left" w:leader="none"/>
              </w:tabs>
              <w:spacing w:line="307" w:lineRule="exact" w:before="0" w:after="0"/>
              <w:ind w:left="593" w:right="0" w:hanging="481"/>
              <w:jc w:val="left"/>
              <w:rPr>
                <w:sz w:val="24"/>
              </w:rPr>
            </w:pPr>
            <w:r>
              <w:rPr>
                <w:sz w:val="24"/>
              </w:rPr>
              <w:t>工程進度、工期檢討及縮</w:t>
            </w:r>
          </w:p>
          <w:p>
            <w:pPr>
              <w:pStyle w:val="TableParagraph"/>
              <w:spacing w:line="292" w:lineRule="exact"/>
              <w:ind w:left="593"/>
              <w:rPr>
                <w:sz w:val="24"/>
              </w:rPr>
            </w:pPr>
            <w:r>
              <w:rPr>
                <w:sz w:val="24"/>
              </w:rPr>
              <w:t>短工期措施。</w:t>
            </w:r>
          </w:p>
        </w:tc>
        <w:tc>
          <w:tcPr>
            <w:tcW w:w="2661" w:type="dxa"/>
            <w:tcBorders>
              <w:left w:val="single" w:sz="6" w:space="0" w:color="000000"/>
              <w:bottom w:val="single" w:sz="6" w:space="0" w:color="000000"/>
            </w:tcBorders>
          </w:tcPr>
          <w:p>
            <w:pPr>
              <w:pStyle w:val="TableParagraph"/>
              <w:rPr>
                <w:rFonts w:ascii="Times New Roman"/>
                <w:sz w:val="24"/>
              </w:rPr>
            </w:pPr>
          </w:p>
        </w:tc>
      </w:tr>
      <w:tr>
        <w:trPr>
          <w:trHeight w:val="2498" w:hRule="atLeast"/>
        </w:trPr>
        <w:tc>
          <w:tcPr>
            <w:tcW w:w="586" w:type="dxa"/>
            <w:tcBorders>
              <w:top w:val="single" w:sz="6" w:space="0" w:color="000000"/>
              <w:bottom w:val="single" w:sz="6" w:space="0" w:color="000000"/>
              <w:right w:val="single" w:sz="6" w:space="0" w:color="000000"/>
            </w:tcBorders>
          </w:tcPr>
          <w:p>
            <w:pPr>
              <w:pStyle w:val="TableParagraph"/>
              <w:spacing w:line="275" w:lineRule="exact"/>
              <w:ind w:left="20"/>
              <w:jc w:val="center"/>
              <w:rPr>
                <w:rFonts w:ascii="Times New Roman"/>
                <w:sz w:val="24"/>
              </w:rPr>
            </w:pPr>
            <w:r>
              <w:rPr>
                <w:rFonts w:ascii="Times New Roman"/>
                <w:sz w:val="24"/>
              </w:rPr>
              <w:t>4</w:t>
            </w:r>
          </w:p>
        </w:tc>
        <w:tc>
          <w:tcPr>
            <w:tcW w:w="1751" w:type="dxa"/>
            <w:tcBorders>
              <w:top w:val="single" w:sz="6" w:space="0" w:color="000000"/>
              <w:left w:val="single" w:sz="6" w:space="0" w:color="000000"/>
              <w:bottom w:val="single" w:sz="6" w:space="0" w:color="000000"/>
              <w:right w:val="single" w:sz="6" w:space="0" w:color="000000"/>
            </w:tcBorders>
          </w:tcPr>
          <w:p>
            <w:pPr>
              <w:pStyle w:val="TableParagraph"/>
              <w:spacing w:line="223" w:lineRule="auto" w:before="4"/>
              <w:ind w:left="114" w:right="179"/>
              <w:rPr>
                <w:sz w:val="24"/>
              </w:rPr>
            </w:pPr>
            <w:r>
              <w:rPr>
                <w:spacing w:val="-1"/>
                <w:sz w:val="24"/>
              </w:rPr>
              <w:t>職業安全衛生</w:t>
            </w:r>
            <w:r>
              <w:rPr>
                <w:sz w:val="24"/>
              </w:rPr>
              <w:t>管理</w:t>
            </w:r>
          </w:p>
        </w:tc>
        <w:tc>
          <w:tcPr>
            <w:tcW w:w="3390" w:type="dxa"/>
            <w:tcBorders>
              <w:top w:val="single" w:sz="6" w:space="0" w:color="000000"/>
              <w:left w:val="single" w:sz="6" w:space="0" w:color="000000"/>
              <w:bottom w:val="single" w:sz="6" w:space="0" w:color="000000"/>
              <w:right w:val="single" w:sz="6" w:space="0" w:color="000000"/>
            </w:tcBorders>
          </w:tcPr>
          <w:p>
            <w:pPr>
              <w:pStyle w:val="TableParagraph"/>
              <w:numPr>
                <w:ilvl w:val="0"/>
                <w:numId w:val="4"/>
              </w:numPr>
              <w:tabs>
                <w:tab w:pos="593" w:val="left" w:leader="none"/>
                <w:tab w:pos="594" w:val="left" w:leader="none"/>
              </w:tabs>
              <w:spacing w:line="223" w:lineRule="auto" w:before="4" w:after="0"/>
              <w:ind w:left="593" w:right="139" w:hanging="480"/>
              <w:jc w:val="left"/>
              <w:rPr>
                <w:sz w:val="24"/>
              </w:rPr>
            </w:pPr>
            <w:r>
              <w:rPr>
                <w:spacing w:val="-1"/>
                <w:sz w:val="24"/>
              </w:rPr>
              <w:t>職業安全衛生管理制度，</w:t>
            </w:r>
            <w:r>
              <w:rPr>
                <w:spacing w:val="-117"/>
                <w:sz w:val="24"/>
              </w:rPr>
              <w:t> </w:t>
            </w:r>
            <w:r>
              <w:rPr>
                <w:sz w:val="24"/>
              </w:rPr>
              <w:t>如政策、組織人力及資</w:t>
            </w:r>
            <w:r>
              <w:rPr>
                <w:spacing w:val="1"/>
                <w:sz w:val="24"/>
              </w:rPr>
              <w:t> </w:t>
            </w:r>
            <w:r>
              <w:rPr>
                <w:spacing w:val="-1"/>
                <w:sz w:val="24"/>
              </w:rPr>
              <w:t>源、計畫實施與落實及管</w:t>
            </w:r>
            <w:r>
              <w:rPr>
                <w:sz w:val="24"/>
              </w:rPr>
              <w:t>理方式。</w:t>
            </w:r>
          </w:p>
          <w:p>
            <w:pPr>
              <w:pStyle w:val="TableParagraph"/>
              <w:numPr>
                <w:ilvl w:val="0"/>
                <w:numId w:val="4"/>
              </w:numPr>
              <w:tabs>
                <w:tab w:pos="593" w:val="left" w:leader="none"/>
                <w:tab w:pos="594" w:val="left" w:leader="none"/>
              </w:tabs>
              <w:spacing w:line="223" w:lineRule="auto" w:before="3" w:after="0"/>
              <w:ind w:left="593" w:right="150" w:hanging="480"/>
              <w:jc w:val="left"/>
              <w:rPr>
                <w:rFonts w:ascii="Times New Roman" w:eastAsia="Times New Roman"/>
                <w:sz w:val="24"/>
              </w:rPr>
            </w:pPr>
            <w:r>
              <w:rPr>
                <w:sz w:val="24"/>
              </w:rPr>
              <w:t>相關職安事績等</w:t>
            </w:r>
            <w:r>
              <w:rPr>
                <w:rFonts w:ascii="Times New Roman" w:eastAsia="Times New Roman"/>
                <w:sz w:val="24"/>
              </w:rPr>
              <w:t>(</w:t>
            </w:r>
            <w:r>
              <w:rPr>
                <w:sz w:val="24"/>
              </w:rPr>
              <w:t>如金安獎等相關獲獎、</w:t>
            </w:r>
            <w:r>
              <w:rPr>
                <w:rFonts w:ascii="Times New Roman" w:eastAsia="Times New Roman"/>
                <w:spacing w:val="-1"/>
                <w:sz w:val="24"/>
              </w:rPr>
              <w:t>TOSHMS</w:t>
            </w:r>
            <w:r>
              <w:rPr>
                <w:sz w:val="24"/>
              </w:rPr>
              <w:t>、</w:t>
            </w:r>
            <w:r>
              <w:rPr>
                <w:rFonts w:ascii="Times New Roman" w:eastAsia="Times New Roman"/>
                <w:sz w:val="24"/>
              </w:rPr>
              <w:t>OHSAS</w:t>
            </w:r>
            <w:r>
              <w:rPr>
                <w:sz w:val="24"/>
              </w:rPr>
              <w:t>、</w:t>
            </w:r>
            <w:r>
              <w:rPr>
                <w:rFonts w:ascii="Times New Roman" w:eastAsia="Times New Roman"/>
                <w:sz w:val="24"/>
              </w:rPr>
              <w:t>ISO</w:t>
            </w:r>
          </w:p>
          <w:p>
            <w:pPr>
              <w:pStyle w:val="TableParagraph"/>
              <w:spacing w:line="287" w:lineRule="exact"/>
              <w:ind w:left="593"/>
              <w:rPr>
                <w:sz w:val="24"/>
              </w:rPr>
            </w:pPr>
            <w:r>
              <w:rPr>
                <w:sz w:val="24"/>
              </w:rPr>
              <w:t>認證等</w:t>
            </w:r>
          </w:p>
        </w:tc>
        <w:tc>
          <w:tcPr>
            <w:tcW w:w="266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1561" w:hRule="atLeast"/>
        </w:trPr>
        <w:tc>
          <w:tcPr>
            <w:tcW w:w="586" w:type="dxa"/>
            <w:tcBorders>
              <w:top w:val="single" w:sz="6" w:space="0" w:color="000000"/>
              <w:bottom w:val="single" w:sz="6" w:space="0" w:color="000000"/>
              <w:right w:val="single" w:sz="6" w:space="0" w:color="000000"/>
            </w:tcBorders>
          </w:tcPr>
          <w:p>
            <w:pPr>
              <w:pStyle w:val="TableParagraph"/>
              <w:spacing w:line="275" w:lineRule="exact"/>
              <w:ind w:left="20"/>
              <w:jc w:val="center"/>
              <w:rPr>
                <w:rFonts w:ascii="Times New Roman"/>
                <w:sz w:val="24"/>
              </w:rPr>
            </w:pPr>
            <w:r>
              <w:rPr>
                <w:rFonts w:ascii="Times New Roman"/>
                <w:sz w:val="24"/>
              </w:rPr>
              <w:t>5</w:t>
            </w:r>
          </w:p>
        </w:tc>
        <w:tc>
          <w:tcPr>
            <w:tcW w:w="1751" w:type="dxa"/>
            <w:tcBorders>
              <w:top w:val="single" w:sz="6" w:space="0" w:color="000000"/>
              <w:left w:val="single" w:sz="6" w:space="0" w:color="000000"/>
              <w:bottom w:val="single" w:sz="6" w:space="0" w:color="000000"/>
              <w:right w:val="single" w:sz="6" w:space="0" w:color="000000"/>
            </w:tcBorders>
          </w:tcPr>
          <w:p>
            <w:pPr>
              <w:pStyle w:val="TableParagraph"/>
              <w:spacing w:line="223" w:lineRule="auto" w:before="4"/>
              <w:ind w:left="114" w:right="179"/>
              <w:rPr>
                <w:sz w:val="24"/>
              </w:rPr>
            </w:pPr>
            <w:r>
              <w:rPr>
                <w:spacing w:val="-1"/>
                <w:sz w:val="24"/>
              </w:rPr>
              <w:t>廠商承諾事項</w:t>
            </w:r>
            <w:r>
              <w:rPr>
                <w:sz w:val="24"/>
              </w:rPr>
              <w:t>或回饋措施</w:t>
            </w:r>
          </w:p>
        </w:tc>
        <w:tc>
          <w:tcPr>
            <w:tcW w:w="3390" w:type="dxa"/>
            <w:tcBorders>
              <w:top w:val="single" w:sz="6" w:space="0" w:color="000000"/>
              <w:left w:val="single" w:sz="6" w:space="0" w:color="000000"/>
              <w:bottom w:val="single" w:sz="6" w:space="0" w:color="000000"/>
              <w:right w:val="single" w:sz="6" w:space="0" w:color="000000"/>
            </w:tcBorders>
          </w:tcPr>
          <w:p>
            <w:pPr>
              <w:pStyle w:val="TableParagraph"/>
              <w:spacing w:line="223" w:lineRule="auto" w:before="4"/>
              <w:ind w:left="113" w:right="139"/>
              <w:rPr>
                <w:sz w:val="24"/>
              </w:rPr>
            </w:pPr>
            <w:r>
              <w:rPr>
                <w:sz w:val="24"/>
              </w:rPr>
              <w:t>例</w:t>
            </w:r>
            <w:r>
              <w:rPr>
                <w:rFonts w:ascii="Times New Roman" w:eastAsia="Times New Roman"/>
                <w:sz w:val="24"/>
              </w:rPr>
              <w:t>:</w:t>
            </w:r>
            <w:r>
              <w:rPr>
                <w:sz w:val="24"/>
              </w:rPr>
              <w:t>主要材料設備品牌、</w:t>
            </w:r>
            <w:r>
              <w:rPr>
                <w:rFonts w:ascii="Times New Roman" w:eastAsia="Times New Roman"/>
                <w:sz w:val="24"/>
              </w:rPr>
              <w:t>BIM</w:t>
            </w:r>
            <w:r>
              <w:rPr>
                <w:rFonts w:ascii="Times New Roman" w:eastAsia="Times New Roman"/>
                <w:spacing w:val="1"/>
                <w:sz w:val="24"/>
              </w:rPr>
              <w:t> </w:t>
            </w:r>
            <w:r>
              <w:rPr>
                <w:spacing w:val="-1"/>
                <w:sz w:val="24"/>
              </w:rPr>
              <w:t>執行計畫、參加金安獎或公共工程金質獎計畫、縮時攝影、工程影像紀錄、縮短工期可行</w:t>
            </w:r>
          </w:p>
          <w:p>
            <w:pPr>
              <w:pStyle w:val="TableParagraph"/>
              <w:spacing w:line="289" w:lineRule="exact"/>
              <w:ind w:left="113"/>
              <w:rPr>
                <w:sz w:val="24"/>
              </w:rPr>
            </w:pPr>
            <w:r>
              <w:rPr>
                <w:sz w:val="24"/>
              </w:rPr>
              <w:t>性或其他加值服務等。</w:t>
            </w:r>
          </w:p>
        </w:tc>
        <w:tc>
          <w:tcPr>
            <w:tcW w:w="2661"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930" w:hRule="atLeast"/>
        </w:trPr>
        <w:tc>
          <w:tcPr>
            <w:tcW w:w="586" w:type="dxa"/>
            <w:tcBorders>
              <w:top w:val="single" w:sz="6" w:space="0" w:color="000000"/>
              <w:bottom w:val="single" w:sz="6" w:space="0" w:color="000000"/>
              <w:right w:val="single" w:sz="6" w:space="0" w:color="000000"/>
            </w:tcBorders>
          </w:tcPr>
          <w:p>
            <w:pPr>
              <w:pStyle w:val="TableParagraph"/>
              <w:spacing w:line="275" w:lineRule="exact"/>
              <w:ind w:left="20"/>
              <w:jc w:val="center"/>
              <w:rPr>
                <w:rFonts w:ascii="Times New Roman"/>
                <w:sz w:val="24"/>
              </w:rPr>
            </w:pPr>
            <w:r>
              <w:rPr>
                <w:rFonts w:ascii="Times New Roman"/>
                <w:sz w:val="24"/>
              </w:rPr>
              <w:t>6</w:t>
            </w:r>
          </w:p>
        </w:tc>
        <w:tc>
          <w:tcPr>
            <w:tcW w:w="1751" w:type="dxa"/>
            <w:tcBorders>
              <w:top w:val="single" w:sz="6" w:space="0" w:color="000000"/>
              <w:left w:val="single" w:sz="6" w:space="0" w:color="000000"/>
              <w:bottom w:val="single" w:sz="6" w:space="0" w:color="000000"/>
              <w:right w:val="single" w:sz="6" w:space="0" w:color="000000"/>
            </w:tcBorders>
          </w:tcPr>
          <w:p>
            <w:pPr>
              <w:pStyle w:val="TableParagraph"/>
              <w:spacing w:line="223" w:lineRule="auto" w:before="4"/>
              <w:ind w:left="114" w:right="179"/>
              <w:rPr>
                <w:sz w:val="24"/>
              </w:rPr>
            </w:pPr>
            <w:r>
              <w:rPr>
                <w:spacing w:val="-1"/>
                <w:sz w:val="24"/>
              </w:rPr>
              <w:t>廠商企業社會</w:t>
            </w:r>
            <w:r>
              <w:rPr>
                <w:sz w:val="24"/>
              </w:rPr>
              <w:t>責任</w:t>
            </w:r>
            <w:r>
              <w:rPr>
                <w:rFonts w:ascii="Times New Roman" w:eastAsia="Times New Roman"/>
                <w:sz w:val="24"/>
              </w:rPr>
              <w:t>(CSR)</w:t>
            </w:r>
            <w:r>
              <w:rPr>
                <w:sz w:val="24"/>
              </w:rPr>
              <w:t>指標</w:t>
            </w:r>
          </w:p>
        </w:tc>
        <w:tc>
          <w:tcPr>
            <w:tcW w:w="3390" w:type="dxa"/>
            <w:tcBorders>
              <w:top w:val="single" w:sz="6" w:space="0" w:color="000000"/>
              <w:left w:val="single" w:sz="6" w:space="0" w:color="000000"/>
              <w:bottom w:val="single" w:sz="6" w:space="0" w:color="000000"/>
              <w:right w:val="single" w:sz="6" w:space="0" w:color="000000"/>
            </w:tcBorders>
          </w:tcPr>
          <w:p>
            <w:pPr>
              <w:pStyle w:val="TableParagraph"/>
              <w:numPr>
                <w:ilvl w:val="0"/>
                <w:numId w:val="5"/>
              </w:numPr>
              <w:tabs>
                <w:tab w:pos="565" w:val="left" w:leader="none"/>
              </w:tabs>
              <w:spacing w:line="223" w:lineRule="auto" w:before="4" w:after="0"/>
              <w:ind w:left="564" w:right="168" w:hanging="428"/>
              <w:jc w:val="both"/>
              <w:rPr>
                <w:sz w:val="24"/>
              </w:rPr>
            </w:pPr>
            <w:r>
              <w:rPr>
                <w:spacing w:val="-1"/>
                <w:sz w:val="24"/>
              </w:rPr>
              <w:t>近一年內曾替員工普遍性加薪，配合勞動部公告之基本工資依法調升者非屬</w:t>
            </w:r>
            <w:r>
              <w:rPr>
                <w:sz w:val="24"/>
              </w:rPr>
              <w:t>加薪。</w:t>
            </w:r>
          </w:p>
          <w:p>
            <w:pPr>
              <w:pStyle w:val="TableParagraph"/>
              <w:numPr>
                <w:ilvl w:val="0"/>
                <w:numId w:val="5"/>
              </w:numPr>
              <w:tabs>
                <w:tab w:pos="565" w:val="left" w:leader="none"/>
              </w:tabs>
              <w:spacing w:line="223" w:lineRule="auto" w:before="0" w:after="0"/>
              <w:ind w:left="564" w:right="168" w:hanging="428"/>
              <w:jc w:val="both"/>
              <w:rPr>
                <w:sz w:val="24"/>
              </w:rPr>
            </w:pPr>
            <w:r>
              <w:rPr>
                <w:spacing w:val="-1"/>
                <w:sz w:val="24"/>
              </w:rPr>
              <w:t>於投標文件載明後續履約期間給與全職從事本採購案之員工薪資 </w:t>
            </w:r>
            <w:r>
              <w:rPr>
                <w:rFonts w:ascii="Times New Roman" w:eastAsia="Times New Roman"/>
                <w:sz w:val="24"/>
              </w:rPr>
              <w:t>(</w:t>
            </w:r>
            <w:r>
              <w:rPr>
                <w:sz w:val="24"/>
              </w:rPr>
              <w:t>不含加班費</w:t>
            </w:r>
            <w:r>
              <w:rPr>
                <w:rFonts w:ascii="Times New Roman" w:eastAsia="Times New Roman"/>
                <w:sz w:val="24"/>
              </w:rPr>
              <w:t>)</w:t>
            </w:r>
            <w:r>
              <w:rPr>
                <w:sz w:val="24"/>
              </w:rPr>
              <w:t>至少新臺幣（下同）</w:t>
            </w:r>
            <w:r>
              <w:rPr>
                <w:rFonts w:ascii="Times New Roman" w:eastAsia="Times New Roman"/>
                <w:sz w:val="24"/>
              </w:rPr>
              <w:t>3</w:t>
            </w:r>
            <w:r>
              <w:rPr>
                <w:rFonts w:ascii="Times New Roman" w:eastAsia="Times New Roman"/>
                <w:spacing w:val="-58"/>
                <w:sz w:val="24"/>
              </w:rPr>
              <w:t> </w:t>
            </w:r>
            <w:r>
              <w:rPr>
                <w:sz w:val="24"/>
              </w:rPr>
              <w:t>萬元以上。</w:t>
            </w:r>
          </w:p>
          <w:p>
            <w:pPr>
              <w:pStyle w:val="TableParagraph"/>
              <w:numPr>
                <w:ilvl w:val="0"/>
                <w:numId w:val="5"/>
              </w:numPr>
              <w:tabs>
                <w:tab w:pos="565" w:val="left" w:leader="none"/>
              </w:tabs>
              <w:spacing w:line="321" w:lineRule="exact" w:before="0" w:after="0"/>
              <w:ind w:left="564" w:right="0" w:hanging="428"/>
              <w:jc w:val="both"/>
              <w:rPr>
                <w:sz w:val="24"/>
              </w:rPr>
            </w:pPr>
            <w:r>
              <w:rPr>
                <w:sz w:val="24"/>
              </w:rPr>
              <w:t>辦理綠色採購。</w:t>
            </w:r>
          </w:p>
        </w:tc>
        <w:tc>
          <w:tcPr>
            <w:tcW w:w="2661" w:type="dxa"/>
            <w:tcBorders>
              <w:top w:val="single" w:sz="6" w:space="0" w:color="000000"/>
              <w:left w:val="single" w:sz="6" w:space="0" w:color="000000"/>
              <w:bottom w:val="single" w:sz="6" w:space="0" w:color="000000"/>
            </w:tcBorders>
          </w:tcPr>
          <w:p>
            <w:pPr>
              <w:pStyle w:val="TableParagraph"/>
              <w:numPr>
                <w:ilvl w:val="0"/>
                <w:numId w:val="6"/>
              </w:numPr>
              <w:tabs>
                <w:tab w:pos="531" w:val="left" w:leader="none"/>
              </w:tabs>
              <w:spacing w:line="223" w:lineRule="auto" w:before="4" w:after="0"/>
              <w:ind w:left="530" w:right="186" w:hanging="425"/>
              <w:jc w:val="left"/>
              <w:rPr>
                <w:sz w:val="24"/>
              </w:rPr>
            </w:pPr>
            <w:r>
              <w:rPr>
                <w:spacing w:val="-1"/>
                <w:sz w:val="24"/>
              </w:rPr>
              <w:t>加薪公文或公告、團體協約、勞資會議紀錄、工資清冊</w:t>
            </w:r>
            <w:r>
              <w:rPr>
                <w:sz w:val="24"/>
              </w:rPr>
              <w:t>等，足以證明事</w:t>
            </w:r>
            <w:r>
              <w:rPr>
                <w:spacing w:val="1"/>
                <w:sz w:val="24"/>
              </w:rPr>
              <w:t> </w:t>
            </w:r>
            <w:r>
              <w:rPr>
                <w:spacing w:val="-1"/>
                <w:sz w:val="24"/>
              </w:rPr>
              <w:t>業單位內勞工加薪</w:t>
            </w:r>
            <w:r>
              <w:rPr>
                <w:sz w:val="24"/>
              </w:rPr>
              <w:t>文件。調整勞保</w:t>
            </w:r>
            <w:r>
              <w:rPr>
                <w:spacing w:val="1"/>
                <w:sz w:val="24"/>
              </w:rPr>
              <w:t> </w:t>
            </w:r>
            <w:r>
              <w:rPr>
                <w:spacing w:val="-1"/>
                <w:sz w:val="24"/>
              </w:rPr>
              <w:t>投保薪資資料非屬</w:t>
            </w:r>
            <w:r>
              <w:rPr>
                <w:sz w:val="24"/>
              </w:rPr>
              <w:t>證明文件。</w:t>
            </w:r>
          </w:p>
          <w:p>
            <w:pPr>
              <w:pStyle w:val="TableParagraph"/>
              <w:numPr>
                <w:ilvl w:val="0"/>
                <w:numId w:val="6"/>
              </w:numPr>
              <w:tabs>
                <w:tab w:pos="502" w:val="left" w:leader="none"/>
              </w:tabs>
              <w:spacing w:line="223" w:lineRule="auto" w:before="2" w:after="0"/>
              <w:ind w:left="501" w:right="214" w:hanging="389"/>
              <w:jc w:val="both"/>
              <w:rPr>
                <w:sz w:val="24"/>
              </w:rPr>
            </w:pPr>
            <w:r>
              <w:rPr>
                <w:spacing w:val="-1"/>
                <w:sz w:val="24"/>
              </w:rPr>
              <w:t>工資清冊、投標文件內載有人員薪資之報價清單等，足以證明事業單位內</w:t>
            </w:r>
            <w:r>
              <w:rPr>
                <w:sz w:val="24"/>
              </w:rPr>
              <w:t>勞工薪資文件。</w:t>
            </w:r>
          </w:p>
          <w:p>
            <w:pPr>
              <w:pStyle w:val="TableParagraph"/>
              <w:numPr>
                <w:ilvl w:val="0"/>
                <w:numId w:val="6"/>
              </w:numPr>
              <w:tabs>
                <w:tab w:pos="502" w:val="left" w:leader="none"/>
              </w:tabs>
              <w:spacing w:line="223" w:lineRule="auto" w:before="0" w:after="0"/>
              <w:ind w:left="501" w:right="214" w:hanging="389"/>
              <w:jc w:val="both"/>
              <w:rPr>
                <w:sz w:val="24"/>
              </w:rPr>
            </w:pPr>
            <w:r>
              <w:rPr>
                <w:spacing w:val="-1"/>
                <w:sz w:val="24"/>
              </w:rPr>
              <w:t>最近一年度於環保署「民間企業及團體綠色採購申報平臺」下載之「綠色</w:t>
            </w:r>
            <w:r>
              <w:rPr>
                <w:sz w:val="24"/>
              </w:rPr>
              <w:t>採購金額證明文</w:t>
            </w:r>
          </w:p>
          <w:p>
            <w:pPr>
              <w:pStyle w:val="TableParagraph"/>
              <w:spacing w:line="286" w:lineRule="exact"/>
              <w:ind w:left="501"/>
              <w:rPr>
                <w:sz w:val="24"/>
              </w:rPr>
            </w:pPr>
            <w:r>
              <w:rPr>
                <w:sz w:val="24"/>
              </w:rPr>
              <w:t>件」。</w:t>
            </w:r>
          </w:p>
        </w:tc>
      </w:tr>
      <w:tr>
        <w:trPr>
          <w:trHeight w:val="311" w:hRule="atLeast"/>
        </w:trPr>
        <w:tc>
          <w:tcPr>
            <w:tcW w:w="586" w:type="dxa"/>
            <w:tcBorders>
              <w:top w:val="single" w:sz="6" w:space="0" w:color="000000"/>
              <w:right w:val="single" w:sz="6" w:space="0" w:color="000000"/>
            </w:tcBorders>
          </w:tcPr>
          <w:p>
            <w:pPr>
              <w:pStyle w:val="TableParagraph"/>
              <w:spacing w:before="1"/>
              <w:ind w:left="20"/>
              <w:jc w:val="center"/>
              <w:rPr>
                <w:rFonts w:ascii="Times New Roman"/>
                <w:sz w:val="24"/>
              </w:rPr>
            </w:pPr>
            <w:r>
              <w:rPr>
                <w:rFonts w:ascii="Times New Roman"/>
                <w:sz w:val="24"/>
              </w:rPr>
              <w:t>7</w:t>
            </w:r>
          </w:p>
        </w:tc>
        <w:tc>
          <w:tcPr>
            <w:tcW w:w="1751" w:type="dxa"/>
            <w:tcBorders>
              <w:top w:val="single" w:sz="6" w:space="0" w:color="000000"/>
              <w:left w:val="single" w:sz="6" w:space="0" w:color="000000"/>
              <w:right w:val="single" w:sz="6" w:space="0" w:color="000000"/>
            </w:tcBorders>
          </w:tcPr>
          <w:p>
            <w:pPr>
              <w:pStyle w:val="TableParagraph"/>
              <w:spacing w:line="291" w:lineRule="exact"/>
              <w:ind w:left="114"/>
              <w:rPr>
                <w:sz w:val="24"/>
              </w:rPr>
            </w:pPr>
            <w:r>
              <w:rPr>
                <w:sz w:val="24"/>
              </w:rPr>
              <w:t>簡報與詢答</w:t>
            </w:r>
          </w:p>
        </w:tc>
        <w:tc>
          <w:tcPr>
            <w:tcW w:w="339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2661" w:type="dxa"/>
            <w:tcBorders>
              <w:top w:val="single" w:sz="6" w:space="0" w:color="000000"/>
              <w:left w:val="single" w:sz="6" w:space="0" w:color="000000"/>
            </w:tcBorders>
          </w:tcPr>
          <w:p>
            <w:pPr>
              <w:pStyle w:val="TableParagraph"/>
              <w:rPr>
                <w:rFonts w:ascii="Times New Roman"/>
                <w:sz w:val="22"/>
              </w:rPr>
            </w:pPr>
          </w:p>
        </w:tc>
      </w:tr>
    </w:tbl>
    <w:p>
      <w:pPr>
        <w:pStyle w:val="BodyText"/>
        <w:spacing w:line="315" w:lineRule="exact"/>
        <w:ind w:left="2401"/>
      </w:pPr>
      <w:r>
        <w:rPr/>
        <w:t>(三)服務建議書附件：</w:t>
      </w:r>
    </w:p>
    <w:p>
      <w:pPr>
        <w:pStyle w:val="ListParagraph"/>
        <w:numPr>
          <w:ilvl w:val="0"/>
          <w:numId w:val="7"/>
        </w:numPr>
        <w:tabs>
          <w:tab w:pos="3122" w:val="left" w:leader="none"/>
        </w:tabs>
        <w:spacing w:line="223" w:lineRule="auto" w:before="5" w:after="0"/>
        <w:ind w:left="3121" w:right="1082" w:hanging="360"/>
        <w:jc w:val="left"/>
        <w:rPr>
          <w:sz w:val="24"/>
        </w:rPr>
      </w:pPr>
      <w:r>
        <w:rPr>
          <w:spacing w:val="-1"/>
          <w:sz w:val="24"/>
        </w:rPr>
        <w:t>附件封面：標題統一為【國立中興大學、國際獸醫防疫人才培訓中</w:t>
      </w:r>
      <w:r>
        <w:rPr>
          <w:sz w:val="24"/>
        </w:rPr>
        <w:t>心暨獸醫教學醫院大樓新建工程】服務建議書附件。</w:t>
      </w:r>
    </w:p>
    <w:p>
      <w:pPr>
        <w:spacing w:after="0" w:line="223" w:lineRule="auto"/>
        <w:jc w:val="left"/>
        <w:rPr>
          <w:sz w:val="24"/>
        </w:rPr>
        <w:sectPr>
          <w:pgSz w:w="11910" w:h="16850"/>
          <w:pgMar w:top="1440" w:bottom="280" w:left="400" w:right="340"/>
        </w:sectPr>
      </w:pPr>
    </w:p>
    <w:p>
      <w:pPr>
        <w:pStyle w:val="ListParagraph"/>
        <w:numPr>
          <w:ilvl w:val="0"/>
          <w:numId w:val="7"/>
        </w:numPr>
        <w:tabs>
          <w:tab w:pos="3122" w:val="left" w:leader="none"/>
        </w:tabs>
        <w:spacing w:line="223" w:lineRule="auto" w:before="64" w:after="0"/>
        <w:ind w:left="3121" w:right="1082" w:hanging="360"/>
        <w:jc w:val="left"/>
        <w:rPr>
          <w:sz w:val="24"/>
        </w:rPr>
      </w:pPr>
      <w:r>
        <w:rPr>
          <w:spacing w:val="-1"/>
          <w:sz w:val="24"/>
        </w:rPr>
        <w:t>附件正本首頁請標示廠商名稱，並蓋廠商及負責人印章或簽署，倘投標廠商未蓋廠商及負責人印章或簽署，本校得洽廠商澄清更正。</w:t>
      </w:r>
    </w:p>
    <w:p>
      <w:pPr>
        <w:pStyle w:val="ListParagraph"/>
        <w:numPr>
          <w:ilvl w:val="0"/>
          <w:numId w:val="7"/>
        </w:numPr>
        <w:tabs>
          <w:tab w:pos="3122" w:val="left" w:leader="none"/>
        </w:tabs>
        <w:spacing w:line="307" w:lineRule="exact" w:before="0" w:after="0"/>
        <w:ind w:left="3121" w:right="0" w:hanging="361"/>
        <w:jc w:val="left"/>
        <w:rPr>
          <w:sz w:val="24"/>
        </w:rPr>
      </w:pPr>
      <w:r>
        <w:rPr>
          <w:sz w:val="24"/>
        </w:rPr>
        <w:t>附件內容應按前款規定檢附相關文件資料：</w:t>
      </w:r>
    </w:p>
    <w:p>
      <w:pPr>
        <w:pStyle w:val="ListParagraph"/>
        <w:numPr>
          <w:ilvl w:val="1"/>
          <w:numId w:val="7"/>
        </w:numPr>
        <w:tabs>
          <w:tab w:pos="3479" w:val="left" w:leader="none"/>
        </w:tabs>
        <w:spacing w:line="312" w:lineRule="exact" w:before="0" w:after="0"/>
        <w:ind w:left="3478" w:right="0" w:hanging="281"/>
        <w:jc w:val="left"/>
        <w:rPr>
          <w:sz w:val="24"/>
        </w:rPr>
      </w:pPr>
      <w:r>
        <w:rPr>
          <w:rFonts w:ascii="Times New Roman" w:eastAsia="Times New Roman"/>
          <w:sz w:val="24"/>
          <w:u w:val="single"/>
        </w:rPr>
        <w:t>  </w:t>
      </w:r>
      <w:r>
        <w:rPr>
          <w:sz w:val="24"/>
          <w:u w:val="single"/>
        </w:rPr>
        <w:t>廠商與本案相關工作實績，及其財力等証明。</w:t>
      </w:r>
    </w:p>
    <w:p>
      <w:pPr>
        <w:pStyle w:val="ListParagraph"/>
        <w:numPr>
          <w:ilvl w:val="1"/>
          <w:numId w:val="7"/>
        </w:numPr>
        <w:tabs>
          <w:tab w:pos="3479" w:val="left" w:leader="none"/>
        </w:tabs>
        <w:spacing w:line="223" w:lineRule="auto" w:before="5" w:after="0"/>
        <w:ind w:left="3198" w:right="1804" w:firstLine="0"/>
        <w:jc w:val="left"/>
        <w:rPr>
          <w:sz w:val="24"/>
        </w:rPr>
      </w:pPr>
      <w:r>
        <w:rPr>
          <w:rFonts w:ascii="Times New Roman" w:eastAsia="Times New Roman"/>
          <w:w w:val="99"/>
          <w:sz w:val="24"/>
          <w:u w:val="single"/>
        </w:rPr>
        <w:t>  </w:t>
      </w:r>
      <w:r>
        <w:rPr>
          <w:sz w:val="24"/>
          <w:u w:val="single"/>
        </w:rPr>
        <w:t>廠商參與本案主要人員學歷、經歷、專業證照等証明。</w:t>
      </w:r>
      <w:r>
        <w:rPr>
          <w:rFonts w:ascii="Times New Roman" w:eastAsia="Times New Roman"/>
          <w:sz w:val="24"/>
        </w:rPr>
        <w:t>(3)</w:t>
      </w:r>
      <w:r>
        <w:rPr>
          <w:rFonts w:ascii="Times New Roman" w:eastAsia="Times New Roman"/>
          <w:spacing w:val="59"/>
          <w:sz w:val="24"/>
          <w:u w:val="single"/>
        </w:rPr>
        <w:t> </w:t>
      </w:r>
      <w:r>
        <w:rPr>
          <w:sz w:val="24"/>
          <w:u w:val="single"/>
        </w:rPr>
        <w:t>廠商企業社會責任</w:t>
      </w:r>
      <w:r>
        <w:rPr>
          <w:rFonts w:ascii="Times New Roman" w:eastAsia="Times New Roman"/>
          <w:sz w:val="24"/>
          <w:u w:val="single"/>
        </w:rPr>
        <w:t>(CSR)</w:t>
      </w:r>
      <w:r>
        <w:rPr>
          <w:sz w:val="24"/>
          <w:u w:val="single"/>
        </w:rPr>
        <w:t>指標相關證明文件。</w:t>
      </w:r>
    </w:p>
    <w:p>
      <w:pPr>
        <w:pStyle w:val="BodyText"/>
        <w:spacing w:line="308" w:lineRule="exact"/>
        <w:ind w:left="2401"/>
      </w:pPr>
      <w:r>
        <w:rPr/>
        <w:t>(四)服務建議書與其附件應分開裝訂。</w:t>
      </w:r>
    </w:p>
    <w:p>
      <w:pPr>
        <w:pStyle w:val="BodyText"/>
        <w:spacing w:line="313" w:lineRule="exact"/>
        <w:ind w:left="2401"/>
      </w:pPr>
      <w:r>
        <w:rPr/>
        <w:t>(五)服務建議書及附件之格式、裝訂方式依下列方式辦理：</w:t>
      </w:r>
    </w:p>
    <w:p>
      <w:pPr>
        <w:pStyle w:val="ListParagraph"/>
        <w:numPr>
          <w:ilvl w:val="0"/>
          <w:numId w:val="8"/>
        </w:numPr>
        <w:tabs>
          <w:tab w:pos="3122" w:val="left" w:leader="none"/>
        </w:tabs>
        <w:spacing w:line="223" w:lineRule="auto" w:before="5" w:after="0"/>
        <w:ind w:left="3121" w:right="1082" w:hanging="360"/>
        <w:jc w:val="both"/>
        <w:rPr>
          <w:sz w:val="24"/>
        </w:rPr>
      </w:pPr>
      <w:r>
        <w:rPr>
          <w:spacing w:val="-5"/>
          <w:sz w:val="24"/>
        </w:rPr>
        <w:t>企劃書以橫書直式編排，紙張大小採 </w:t>
      </w:r>
      <w:r>
        <w:rPr>
          <w:rFonts w:ascii="Times New Roman" w:eastAsia="Times New Roman"/>
          <w:sz w:val="24"/>
        </w:rPr>
        <w:t>A4 </w:t>
      </w:r>
      <w:r>
        <w:rPr>
          <w:sz w:val="24"/>
        </w:rPr>
        <w:t>規格紙張，雙面印刷為原</w:t>
      </w:r>
      <w:r>
        <w:rPr>
          <w:spacing w:val="-10"/>
          <w:sz w:val="24"/>
        </w:rPr>
        <w:t>則，圖樣得採 </w:t>
      </w:r>
      <w:r>
        <w:rPr>
          <w:rFonts w:ascii="Times New Roman" w:eastAsia="Times New Roman"/>
          <w:sz w:val="24"/>
        </w:rPr>
        <w:t>A3 </w:t>
      </w:r>
      <w:r>
        <w:rPr>
          <w:sz w:val="24"/>
        </w:rPr>
        <w:t>規格紙張（</w:t>
      </w:r>
      <w:r>
        <w:rPr>
          <w:spacing w:val="-12"/>
          <w:sz w:val="24"/>
        </w:rPr>
        <w:t>請摺頁為 </w:t>
      </w:r>
      <w:r>
        <w:rPr>
          <w:rFonts w:ascii="Times New Roman" w:eastAsia="Times New Roman"/>
          <w:sz w:val="24"/>
        </w:rPr>
        <w:t>A4 </w:t>
      </w:r>
      <w:r>
        <w:rPr>
          <w:sz w:val="24"/>
        </w:rPr>
        <w:t>規格），以連續編列頁</w:t>
      </w:r>
      <w:r>
        <w:rPr>
          <w:spacing w:val="-1"/>
          <w:sz w:val="24"/>
        </w:rPr>
        <w:t>碼方式不得超過【</w:t>
      </w:r>
      <w:r>
        <w:rPr>
          <w:rFonts w:ascii="Times New Roman" w:eastAsia="Times New Roman"/>
          <w:sz w:val="24"/>
        </w:rPr>
        <w:t>90</w:t>
      </w:r>
      <w:r>
        <w:rPr>
          <w:sz w:val="24"/>
        </w:rPr>
        <w:t>】頁（不含封面、封底、首頁及目錄），不可</w:t>
      </w:r>
      <w:r>
        <w:rPr>
          <w:spacing w:val="-11"/>
          <w:sz w:val="24"/>
        </w:rPr>
        <w:t>分冊，並採 </w:t>
      </w:r>
      <w:r>
        <w:rPr>
          <w:rFonts w:ascii="Times New Roman" w:eastAsia="Times New Roman"/>
          <w:sz w:val="24"/>
        </w:rPr>
        <w:t>A4 </w:t>
      </w:r>
      <w:r>
        <w:rPr>
          <w:sz w:val="24"/>
        </w:rPr>
        <w:t>直式左側裝訂。</w:t>
      </w:r>
    </w:p>
    <w:p>
      <w:pPr>
        <w:pStyle w:val="ListParagraph"/>
        <w:numPr>
          <w:ilvl w:val="0"/>
          <w:numId w:val="8"/>
        </w:numPr>
        <w:tabs>
          <w:tab w:pos="3122" w:val="left" w:leader="none"/>
        </w:tabs>
        <w:spacing w:line="223" w:lineRule="auto" w:before="0" w:after="0"/>
        <w:ind w:left="3121" w:right="1081" w:hanging="360"/>
        <w:jc w:val="both"/>
        <w:rPr>
          <w:sz w:val="24"/>
        </w:rPr>
      </w:pPr>
      <w:r>
        <w:rPr>
          <w:sz w:val="24"/>
        </w:rPr>
        <w:t>附件以橫書直式編排，紙張大小、規格及裝訂方式同企劃書，頁數不限。</w:t>
      </w:r>
    </w:p>
    <w:p>
      <w:pPr>
        <w:pStyle w:val="ListParagraph"/>
        <w:numPr>
          <w:ilvl w:val="0"/>
          <w:numId w:val="8"/>
        </w:numPr>
        <w:tabs>
          <w:tab w:pos="3122" w:val="left" w:leader="none"/>
        </w:tabs>
        <w:spacing w:line="223" w:lineRule="auto" w:before="0" w:after="0"/>
        <w:ind w:left="3121" w:right="1083" w:hanging="360"/>
        <w:jc w:val="both"/>
        <w:rPr>
          <w:sz w:val="24"/>
        </w:rPr>
      </w:pPr>
      <w:r>
        <w:rPr>
          <w:spacing w:val="-1"/>
          <w:sz w:val="24"/>
        </w:rPr>
        <w:t>服務建議書之格式、裝訂方式與規定不符者，審查委員得視不符情</w:t>
      </w:r>
      <w:r>
        <w:rPr>
          <w:sz w:val="24"/>
        </w:rPr>
        <w:t>形酌予評比較低之分數。</w:t>
      </w:r>
    </w:p>
    <w:p>
      <w:pPr>
        <w:pStyle w:val="BodyText"/>
        <w:spacing w:before="7"/>
        <w:ind w:left="1878" w:right="7846" w:hanging="480"/>
      </w:pPr>
      <w:r>
        <w:rPr>
          <w:spacing w:val="-1"/>
        </w:rPr>
        <w:t>第參節、審查作業一、作業流程</w:t>
      </w:r>
    </w:p>
    <w:p>
      <w:pPr>
        <w:pStyle w:val="BodyText"/>
        <w:spacing w:line="301" w:lineRule="exact"/>
        <w:ind w:left="2401"/>
      </w:pPr>
      <w:r>
        <w:rPr/>
        <w:t>(一)審查前作業：</w:t>
      </w:r>
    </w:p>
    <w:p>
      <w:pPr>
        <w:pStyle w:val="ListParagraph"/>
        <w:numPr>
          <w:ilvl w:val="0"/>
          <w:numId w:val="9"/>
        </w:numPr>
        <w:tabs>
          <w:tab w:pos="3122" w:val="left" w:leader="none"/>
        </w:tabs>
        <w:spacing w:line="223" w:lineRule="auto" w:before="5" w:after="0"/>
        <w:ind w:left="3121" w:right="1082" w:hanging="360"/>
        <w:jc w:val="left"/>
        <w:rPr>
          <w:sz w:val="24"/>
        </w:rPr>
      </w:pPr>
      <w:r>
        <w:rPr>
          <w:spacing w:val="-1"/>
          <w:sz w:val="24"/>
        </w:rPr>
        <w:t>審查作業前經資格審查符合本案招標文件規定之投標廠商，始得參</w:t>
      </w:r>
      <w:r>
        <w:rPr>
          <w:sz w:val="24"/>
        </w:rPr>
        <w:t>與後續審查作業；</w:t>
      </w:r>
      <w:r>
        <w:rPr>
          <w:color w:val="0000FF"/>
          <w:sz w:val="24"/>
        </w:rPr>
        <w:t>審查會議之時間、地點，詳投標須知。</w:t>
      </w:r>
    </w:p>
    <w:p>
      <w:pPr>
        <w:pStyle w:val="ListParagraph"/>
        <w:numPr>
          <w:ilvl w:val="0"/>
          <w:numId w:val="9"/>
        </w:numPr>
        <w:tabs>
          <w:tab w:pos="3122" w:val="left" w:leader="none"/>
        </w:tabs>
        <w:spacing w:line="223" w:lineRule="auto" w:before="2" w:after="0"/>
        <w:ind w:left="3121" w:right="1082" w:hanging="360"/>
        <w:jc w:val="left"/>
        <w:rPr>
          <w:sz w:val="24"/>
        </w:rPr>
      </w:pPr>
      <w:r>
        <w:rPr>
          <w:color w:val="0000FF"/>
          <w:spacing w:val="-1"/>
          <w:sz w:val="24"/>
        </w:rPr>
        <w:t>廠商簡報之順序於資格審查後；依各合格廠商投標文件送達時間先</w:t>
      </w:r>
      <w:r>
        <w:rPr>
          <w:color w:val="0000FF"/>
          <w:sz w:val="24"/>
        </w:rPr>
        <w:t>後順序決定</w:t>
      </w:r>
      <w:r>
        <w:rPr>
          <w:rFonts w:ascii="Times New Roman" w:eastAsia="Times New Roman"/>
          <w:color w:val="0000FF"/>
          <w:sz w:val="24"/>
        </w:rPr>
        <w:t>(</w:t>
      </w:r>
      <w:r>
        <w:rPr>
          <w:color w:val="0000FF"/>
          <w:sz w:val="24"/>
        </w:rPr>
        <w:t>以本校總收文收件登錄時間為準</w:t>
      </w:r>
      <w:r>
        <w:rPr>
          <w:rFonts w:ascii="Times New Roman" w:eastAsia="Times New Roman"/>
          <w:color w:val="0000FF"/>
          <w:sz w:val="24"/>
        </w:rPr>
        <w:t>)</w:t>
      </w:r>
      <w:r>
        <w:rPr>
          <w:color w:val="0000FF"/>
          <w:sz w:val="24"/>
        </w:rPr>
        <w:t>。</w:t>
      </w:r>
    </w:p>
    <w:p>
      <w:pPr>
        <w:pStyle w:val="ListParagraph"/>
        <w:numPr>
          <w:ilvl w:val="0"/>
          <w:numId w:val="9"/>
        </w:numPr>
        <w:tabs>
          <w:tab w:pos="3122" w:val="left" w:leader="none"/>
        </w:tabs>
        <w:spacing w:line="307" w:lineRule="exact" w:before="0" w:after="0"/>
        <w:ind w:left="3121" w:right="0" w:hanging="361"/>
        <w:jc w:val="left"/>
        <w:rPr>
          <w:sz w:val="24"/>
        </w:rPr>
      </w:pPr>
      <w:r>
        <w:rPr>
          <w:sz w:val="24"/>
        </w:rPr>
        <w:t>提醒委員應公正審查，勿強制要求廠商修正其投標文件內容，如有</w:t>
      </w:r>
    </w:p>
    <w:p>
      <w:pPr>
        <w:pStyle w:val="BodyText"/>
        <w:spacing w:line="223" w:lineRule="auto" w:before="5"/>
        <w:ind w:left="3121" w:right="1082"/>
      </w:pPr>
      <w:r>
        <w:rPr>
          <w:spacing w:val="-6"/>
        </w:rPr>
        <w:t>「採購評選委員須知」第 </w:t>
      </w:r>
      <w:r>
        <w:rPr>
          <w:spacing w:val="-1"/>
        </w:rPr>
        <w:t>6</w:t>
      </w:r>
      <w:r>
        <w:rPr>
          <w:spacing w:val="-8"/>
        </w:rPr>
        <w:t> 點規定需要辭職迴避之情形，請主動告</w:t>
      </w:r>
      <w:r>
        <w:rPr/>
        <w:t>知本校。</w:t>
      </w:r>
    </w:p>
    <w:p>
      <w:pPr>
        <w:pStyle w:val="BodyText"/>
        <w:spacing w:line="223" w:lineRule="auto"/>
        <w:ind w:left="2401" w:right="5643"/>
      </w:pPr>
      <w:r>
        <w:rPr>
          <w:spacing w:val="-1"/>
        </w:rPr>
        <w:t>(二)工作小組提出初審意見。</w:t>
      </w:r>
      <w:r>
        <w:rPr/>
        <w:t>(三)投標廠商簡報及詢答。</w:t>
      </w:r>
    </w:p>
    <w:p>
      <w:pPr>
        <w:pStyle w:val="BodyText"/>
        <w:spacing w:line="307" w:lineRule="exact"/>
        <w:ind w:left="2401"/>
      </w:pPr>
      <w:r>
        <w:rPr/>
        <w:t>(四)審查委員辦理審查。</w:t>
      </w:r>
    </w:p>
    <w:p>
      <w:pPr>
        <w:pStyle w:val="BodyText"/>
        <w:spacing w:line="223" w:lineRule="auto" w:before="5"/>
        <w:ind w:left="2401" w:right="3722"/>
      </w:pPr>
      <w:r>
        <w:rPr>
          <w:spacing w:val="-1"/>
        </w:rPr>
        <w:t>(五)審查結果簽報本校校長或其授權人員核定。</w:t>
      </w:r>
      <w:r>
        <w:rPr/>
        <w:t>(六)價格標之開標作業。</w:t>
      </w:r>
    </w:p>
    <w:p>
      <w:pPr>
        <w:pStyle w:val="BodyText"/>
        <w:spacing w:line="307" w:lineRule="exact"/>
        <w:ind w:left="1878"/>
      </w:pPr>
      <w:r>
        <w:rPr/>
        <w:t>二、審查方式：</w:t>
      </w:r>
    </w:p>
    <w:p>
      <w:pPr>
        <w:pStyle w:val="BodyText"/>
        <w:spacing w:line="223" w:lineRule="auto" w:before="5"/>
        <w:ind w:left="2955" w:right="1095" w:hanging="567"/>
      </w:pPr>
      <w:r>
        <w:rPr>
          <w:spacing w:val="-1"/>
        </w:rPr>
        <w:t>(一)依招標文件之規定辦理，另應準用「最有利標評選辦法」、「採購評</w:t>
      </w:r>
      <w:r>
        <w:rPr/>
        <w:t>選委員會組織準則」、「採購評選委員會審議規則」等規定進行評分審查。本校於審查委員會成立時，一併成立工作小組，協助本採購案審查委員會辦理與評分審查有關之作業。</w:t>
      </w:r>
    </w:p>
    <w:p>
      <w:pPr>
        <w:pStyle w:val="BodyText"/>
        <w:spacing w:line="309" w:lineRule="exact"/>
        <w:ind w:left="2389"/>
      </w:pPr>
      <w:r>
        <w:rPr/>
        <w:t>(二)「審查項目」、「審查標準」及「評分方式」、依審查須知規定。</w:t>
      </w:r>
    </w:p>
    <w:p>
      <w:pPr>
        <w:pStyle w:val="BodyText"/>
        <w:spacing w:line="223" w:lineRule="auto" w:before="5"/>
        <w:ind w:left="2955" w:right="1095" w:hanging="567"/>
      </w:pPr>
      <w:r>
        <w:rPr>
          <w:spacing w:val="-1"/>
        </w:rPr>
        <w:t>(三)開標作業依資格、規格及價格之順序分段辦理。資格及規格合於招標</w:t>
      </w:r>
      <w:r>
        <w:rPr/>
        <w:t>文件規定，且經審查委員會採價格不納入評分之方式審查，總平均不低於審查標準所定及格分數之廠商，方得參與價格標之開標，並依前點各款之規定辦理。</w:t>
      </w:r>
    </w:p>
    <w:p>
      <w:pPr>
        <w:pStyle w:val="BodyText"/>
        <w:spacing w:line="223" w:lineRule="auto"/>
        <w:ind w:left="2955" w:right="1248"/>
      </w:pPr>
      <w:r>
        <w:rPr>
          <w:spacing w:val="-1"/>
        </w:rPr>
        <w:t>前開審查結果，應經本校校長或其授權人員核定後，就合於標準之</w:t>
      </w:r>
      <w:r>
        <w:rPr/>
        <w:t>廠商開價格標。</w:t>
      </w:r>
    </w:p>
    <w:p>
      <w:pPr>
        <w:spacing w:after="0" w:line="223" w:lineRule="auto"/>
        <w:sectPr>
          <w:pgSz w:w="11910" w:h="16850"/>
          <w:pgMar w:top="1380" w:bottom="280" w:left="400" w:right="340"/>
        </w:sectPr>
      </w:pPr>
    </w:p>
    <w:p>
      <w:pPr>
        <w:pStyle w:val="BodyText"/>
        <w:spacing w:line="223" w:lineRule="auto" w:before="44"/>
        <w:ind w:left="2955" w:right="1095" w:hanging="567"/>
      </w:pPr>
      <w:r>
        <w:rPr>
          <w:spacing w:val="-1"/>
        </w:rPr>
        <w:t>(四)投標廠商依招標文件規定如有需進行簡報時，應以投標文件為限，不</w:t>
      </w:r>
      <w:r>
        <w:rPr/>
        <w:t>得於簡報時再發放簡報資料，另行提出變更或補充資料者，該資料不納入審查考量。簡報詢答過程中，審查委員不得要求廠商提供本校回饋或要求更改投標文件。</w:t>
      </w:r>
    </w:p>
    <w:p>
      <w:pPr>
        <w:pStyle w:val="BodyText"/>
        <w:spacing w:line="223" w:lineRule="auto"/>
        <w:ind w:left="2955" w:right="1095" w:hanging="567"/>
      </w:pPr>
      <w:r>
        <w:rPr>
          <w:spacing w:val="-1"/>
        </w:rPr>
        <w:t>(五)審查委員會審查時，依招標文件規定，須由投標廠商進行簡報者，投</w:t>
      </w:r>
      <w:r>
        <w:rPr/>
        <w:t>標廠商未出席簡報及現場問答者，不影響其投標文件之有效性。但審查項目列有簡報審查項目者，該項目以零分計。</w:t>
      </w:r>
    </w:p>
    <w:p>
      <w:pPr>
        <w:pStyle w:val="BodyText"/>
        <w:spacing w:line="309" w:lineRule="exact"/>
        <w:ind w:left="1878"/>
      </w:pPr>
      <w:r>
        <w:rPr/>
        <w:t>三、審查項目：</w:t>
      </w:r>
    </w:p>
    <w:p>
      <w:pPr>
        <w:pStyle w:val="BodyText"/>
        <w:spacing w:line="324" w:lineRule="exact"/>
        <w:ind w:left="2401"/>
      </w:pPr>
      <w:r>
        <w:rPr/>
        <w:t>(一)本案審查項目、子項內容及配分如下表：</w:t>
      </w:r>
    </w:p>
    <w:tbl>
      <w:tblPr>
        <w:tblW w:w="0" w:type="auto"/>
        <w:jc w:val="left"/>
        <w:tblInd w:w="2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3390"/>
        <w:gridCol w:w="1914"/>
      </w:tblGrid>
      <w:tr>
        <w:trPr>
          <w:trHeight w:val="359" w:hRule="atLeast"/>
        </w:trPr>
        <w:tc>
          <w:tcPr>
            <w:tcW w:w="2773" w:type="dxa"/>
          </w:tcPr>
          <w:p>
            <w:pPr>
              <w:pStyle w:val="TableParagraph"/>
              <w:ind w:left="884" w:right="878"/>
              <w:jc w:val="center"/>
              <w:rPr>
                <w:sz w:val="24"/>
              </w:rPr>
            </w:pPr>
            <w:r>
              <w:rPr>
                <w:sz w:val="24"/>
              </w:rPr>
              <w:t>審查項目</w:t>
            </w:r>
          </w:p>
        </w:tc>
        <w:tc>
          <w:tcPr>
            <w:tcW w:w="3390" w:type="dxa"/>
          </w:tcPr>
          <w:p>
            <w:pPr>
              <w:pStyle w:val="TableParagraph"/>
              <w:ind w:left="973"/>
              <w:rPr>
                <w:sz w:val="24"/>
              </w:rPr>
            </w:pPr>
            <w:r>
              <w:rPr>
                <w:sz w:val="24"/>
              </w:rPr>
              <w:t>審查項目子項</w:t>
            </w:r>
          </w:p>
        </w:tc>
        <w:tc>
          <w:tcPr>
            <w:tcW w:w="1914" w:type="dxa"/>
          </w:tcPr>
          <w:p>
            <w:pPr>
              <w:pStyle w:val="TableParagraph"/>
              <w:ind w:left="334" w:right="330"/>
              <w:jc w:val="center"/>
              <w:rPr>
                <w:sz w:val="24"/>
              </w:rPr>
            </w:pPr>
            <w:r>
              <w:rPr>
                <w:sz w:val="24"/>
              </w:rPr>
              <w:t>配分(權重)</w:t>
            </w:r>
          </w:p>
        </w:tc>
      </w:tr>
      <w:tr>
        <w:trPr>
          <w:trHeight w:val="359" w:hRule="atLeast"/>
        </w:trPr>
        <w:tc>
          <w:tcPr>
            <w:tcW w:w="2773" w:type="dxa"/>
            <w:vMerge w:val="restart"/>
          </w:tcPr>
          <w:p>
            <w:pPr>
              <w:pStyle w:val="TableParagraph"/>
              <w:tabs>
                <w:tab w:pos="587" w:val="left" w:leader="none"/>
              </w:tabs>
              <w:spacing w:line="256" w:lineRule="auto"/>
              <w:ind w:left="587" w:right="101" w:hanging="480"/>
              <w:rPr>
                <w:sz w:val="24"/>
              </w:rPr>
            </w:pPr>
            <w:r>
              <w:rPr>
                <w:rFonts w:ascii="Times New Roman" w:eastAsia="Times New Roman"/>
                <w:sz w:val="24"/>
              </w:rPr>
              <w:t>1.</w:t>
              <w:tab/>
            </w:r>
            <w:r>
              <w:rPr>
                <w:spacing w:val="18"/>
                <w:sz w:val="24"/>
              </w:rPr>
              <w:t>近五年內履約績效</w:t>
            </w:r>
            <w:r>
              <w:rPr>
                <w:sz w:val="24"/>
              </w:rPr>
              <w:t>情形</w:t>
            </w:r>
          </w:p>
        </w:tc>
        <w:tc>
          <w:tcPr>
            <w:tcW w:w="3390" w:type="dxa"/>
          </w:tcPr>
          <w:p>
            <w:pPr>
              <w:pStyle w:val="TableParagraph"/>
              <w:tabs>
                <w:tab w:pos="587" w:val="left" w:leader="none"/>
              </w:tabs>
              <w:ind w:left="107"/>
              <w:rPr>
                <w:sz w:val="24"/>
              </w:rPr>
            </w:pPr>
            <w:r>
              <w:rPr>
                <w:rFonts w:ascii="Times New Roman" w:eastAsia="Times New Roman"/>
                <w:sz w:val="24"/>
              </w:rPr>
              <w:t>(1)</w:t>
              <w:tab/>
            </w:r>
            <w:r>
              <w:rPr>
                <w:sz w:val="24"/>
              </w:rPr>
              <w:t>工程內容認知。</w:t>
            </w:r>
          </w:p>
        </w:tc>
        <w:tc>
          <w:tcPr>
            <w:tcW w:w="1914" w:type="dxa"/>
            <w:vMerge w:val="restart"/>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8"/>
              <w:ind w:left="814" w:right="810"/>
              <w:jc w:val="center"/>
              <w:rPr>
                <w:rFonts w:ascii="Times New Roman"/>
                <w:sz w:val="24"/>
              </w:rPr>
            </w:pPr>
            <w:r>
              <w:rPr>
                <w:rFonts w:ascii="Times New Roman"/>
                <w:sz w:val="24"/>
              </w:rPr>
              <w:t>20</w:t>
            </w:r>
          </w:p>
        </w:tc>
      </w:tr>
      <w:tr>
        <w:trPr>
          <w:trHeight w:val="1440" w:hRule="atLeast"/>
        </w:trPr>
        <w:tc>
          <w:tcPr>
            <w:tcW w:w="2773" w:type="dxa"/>
            <w:vMerge/>
            <w:tcBorders>
              <w:top w:val="nil"/>
            </w:tcBorders>
          </w:tcPr>
          <w:p>
            <w:pPr>
              <w:rPr>
                <w:sz w:val="2"/>
                <w:szCs w:val="2"/>
              </w:rPr>
            </w:pPr>
          </w:p>
        </w:tc>
        <w:tc>
          <w:tcPr>
            <w:tcW w:w="3390" w:type="dxa"/>
          </w:tcPr>
          <w:p>
            <w:pPr>
              <w:pStyle w:val="TableParagraph"/>
              <w:spacing w:line="256" w:lineRule="auto"/>
              <w:ind w:left="587" w:right="150" w:hanging="480"/>
              <w:jc w:val="both"/>
              <w:rPr>
                <w:sz w:val="24"/>
              </w:rPr>
            </w:pPr>
            <w:r>
              <w:rPr>
                <w:rFonts w:ascii="Times New Roman" w:eastAsia="Times New Roman"/>
                <w:sz w:val="24"/>
              </w:rPr>
              <w:t>(2)</w:t>
            </w:r>
            <w:r>
              <w:rPr>
                <w:rFonts w:ascii="Times New Roman" w:eastAsia="Times New Roman"/>
                <w:spacing w:val="5"/>
                <w:sz w:val="24"/>
              </w:rPr>
              <w:t> </w:t>
            </w:r>
            <w:r>
              <w:rPr>
                <w:sz w:val="24"/>
              </w:rPr>
              <w:t>公司組織簡介及人力、設</w:t>
            </w:r>
            <w:r>
              <w:rPr>
                <w:spacing w:val="-1"/>
                <w:sz w:val="24"/>
              </w:rPr>
              <w:t>備資源、目前承攬之尚在執行中工程及其人力配置</w:t>
            </w:r>
          </w:p>
          <w:p>
            <w:pPr>
              <w:pStyle w:val="TableParagraph"/>
              <w:spacing w:before="3"/>
              <w:ind w:left="587"/>
              <w:rPr>
                <w:sz w:val="24"/>
              </w:rPr>
            </w:pPr>
            <w:r>
              <w:rPr>
                <w:sz w:val="24"/>
              </w:rPr>
              <w:t>現況。</w:t>
            </w:r>
          </w:p>
        </w:tc>
        <w:tc>
          <w:tcPr>
            <w:tcW w:w="1914" w:type="dxa"/>
            <w:vMerge/>
            <w:tcBorders>
              <w:top w:val="nil"/>
            </w:tcBorders>
          </w:tcPr>
          <w:p>
            <w:pPr>
              <w:rPr>
                <w:sz w:val="2"/>
                <w:szCs w:val="2"/>
              </w:rPr>
            </w:pPr>
          </w:p>
        </w:tc>
      </w:tr>
      <w:tr>
        <w:trPr>
          <w:trHeight w:val="1079" w:hRule="atLeast"/>
        </w:trPr>
        <w:tc>
          <w:tcPr>
            <w:tcW w:w="2773" w:type="dxa"/>
            <w:vMerge/>
            <w:tcBorders>
              <w:top w:val="nil"/>
            </w:tcBorders>
          </w:tcPr>
          <w:p>
            <w:pPr>
              <w:rPr>
                <w:sz w:val="2"/>
                <w:szCs w:val="2"/>
              </w:rPr>
            </w:pPr>
          </w:p>
        </w:tc>
        <w:tc>
          <w:tcPr>
            <w:tcW w:w="3390" w:type="dxa"/>
          </w:tcPr>
          <w:p>
            <w:pPr>
              <w:pStyle w:val="TableParagraph"/>
              <w:tabs>
                <w:tab w:pos="587" w:val="left" w:leader="none"/>
              </w:tabs>
              <w:spacing w:line="256" w:lineRule="auto"/>
              <w:ind w:left="587" w:right="150" w:hanging="480"/>
              <w:rPr>
                <w:sz w:val="24"/>
              </w:rPr>
            </w:pPr>
            <w:r>
              <w:rPr>
                <w:rFonts w:ascii="Times New Roman" w:eastAsia="Times New Roman"/>
                <w:sz w:val="24"/>
              </w:rPr>
              <w:t>(3)</w:t>
              <w:tab/>
            </w:r>
            <w:r>
              <w:rPr>
                <w:sz w:val="24"/>
              </w:rPr>
              <w:t>工程實績說明</w:t>
            </w:r>
            <w:r>
              <w:rPr>
                <w:rFonts w:ascii="Times New Roman" w:eastAsia="Times New Roman"/>
                <w:sz w:val="24"/>
              </w:rPr>
              <w:t>(</w:t>
            </w:r>
            <w:r>
              <w:rPr>
                <w:sz w:val="24"/>
              </w:rPr>
              <w:t>應提出近</w:t>
            </w:r>
            <w:r>
              <w:rPr>
                <w:spacing w:val="-1"/>
                <w:sz w:val="24"/>
              </w:rPr>
              <w:t>五年內非列為拒絕往來廠</w:t>
            </w:r>
          </w:p>
          <w:p>
            <w:pPr>
              <w:pStyle w:val="TableParagraph"/>
              <w:spacing w:before="2"/>
              <w:ind w:left="587"/>
              <w:rPr>
                <w:sz w:val="24"/>
              </w:rPr>
            </w:pPr>
            <w:r>
              <w:rPr>
                <w:spacing w:val="-1"/>
                <w:sz w:val="24"/>
              </w:rPr>
              <w:t>商之紀錄</w:t>
            </w:r>
            <w:r>
              <w:rPr>
                <w:rFonts w:ascii="Times New Roman" w:eastAsia="Times New Roman"/>
                <w:sz w:val="24"/>
              </w:rPr>
              <w:t>)</w:t>
            </w:r>
            <w:r>
              <w:rPr>
                <w:sz w:val="24"/>
              </w:rPr>
              <w:t>。</w:t>
            </w:r>
          </w:p>
        </w:tc>
        <w:tc>
          <w:tcPr>
            <w:tcW w:w="1914" w:type="dxa"/>
            <w:vMerge/>
            <w:tcBorders>
              <w:top w:val="nil"/>
            </w:tcBorders>
          </w:tcPr>
          <w:p>
            <w:pPr>
              <w:rPr>
                <w:sz w:val="2"/>
                <w:szCs w:val="2"/>
              </w:rPr>
            </w:pPr>
          </w:p>
        </w:tc>
      </w:tr>
      <w:tr>
        <w:trPr>
          <w:trHeight w:val="722" w:hRule="atLeast"/>
        </w:trPr>
        <w:tc>
          <w:tcPr>
            <w:tcW w:w="2773" w:type="dxa"/>
            <w:vMerge/>
            <w:tcBorders>
              <w:top w:val="nil"/>
            </w:tcBorders>
          </w:tcPr>
          <w:p>
            <w:pPr>
              <w:rPr>
                <w:sz w:val="2"/>
                <w:szCs w:val="2"/>
              </w:rPr>
            </w:pPr>
          </w:p>
        </w:tc>
        <w:tc>
          <w:tcPr>
            <w:tcW w:w="3390" w:type="dxa"/>
          </w:tcPr>
          <w:p>
            <w:pPr>
              <w:pStyle w:val="TableParagraph"/>
              <w:tabs>
                <w:tab w:pos="587" w:val="left" w:leader="none"/>
              </w:tabs>
              <w:spacing w:before="2"/>
              <w:ind w:left="107"/>
              <w:rPr>
                <w:sz w:val="24"/>
              </w:rPr>
            </w:pPr>
            <w:r>
              <w:rPr>
                <w:rFonts w:ascii="Times New Roman" w:eastAsia="Times New Roman"/>
                <w:sz w:val="24"/>
              </w:rPr>
              <w:t>(4)</w:t>
              <w:tab/>
            </w:r>
            <w:r>
              <w:rPr>
                <w:sz w:val="24"/>
              </w:rPr>
              <w:t>公司財務狀況</w:t>
            </w:r>
            <w:r>
              <w:rPr>
                <w:rFonts w:ascii="Times New Roman" w:eastAsia="Times New Roman"/>
                <w:sz w:val="24"/>
              </w:rPr>
              <w:t>(</w:t>
            </w:r>
            <w:r>
              <w:rPr>
                <w:sz w:val="24"/>
              </w:rPr>
              <w:t>應提出相</w:t>
            </w:r>
          </w:p>
          <w:p>
            <w:pPr>
              <w:pStyle w:val="TableParagraph"/>
              <w:spacing w:before="25"/>
              <w:ind w:left="587"/>
              <w:rPr>
                <w:sz w:val="24"/>
              </w:rPr>
            </w:pPr>
            <w:r>
              <w:rPr>
                <w:spacing w:val="-1"/>
                <w:sz w:val="24"/>
              </w:rPr>
              <w:t>關佐證資料</w:t>
            </w:r>
            <w:r>
              <w:rPr>
                <w:rFonts w:ascii="Times New Roman" w:eastAsia="Times New Roman"/>
                <w:sz w:val="24"/>
              </w:rPr>
              <w:t>)</w:t>
            </w:r>
            <w:r>
              <w:rPr>
                <w:sz w:val="24"/>
              </w:rPr>
              <w:t>。</w:t>
            </w:r>
          </w:p>
        </w:tc>
        <w:tc>
          <w:tcPr>
            <w:tcW w:w="1914" w:type="dxa"/>
            <w:vMerge/>
            <w:tcBorders>
              <w:top w:val="nil"/>
            </w:tcBorders>
          </w:tcPr>
          <w:p>
            <w:pPr>
              <w:rPr>
                <w:sz w:val="2"/>
                <w:szCs w:val="2"/>
              </w:rPr>
            </w:pPr>
          </w:p>
        </w:tc>
      </w:tr>
      <w:tr>
        <w:trPr>
          <w:trHeight w:val="1440" w:hRule="atLeast"/>
        </w:trPr>
        <w:tc>
          <w:tcPr>
            <w:tcW w:w="2773" w:type="dxa"/>
            <w:vMerge/>
            <w:tcBorders>
              <w:top w:val="nil"/>
            </w:tcBorders>
          </w:tcPr>
          <w:p>
            <w:pPr>
              <w:rPr>
                <w:sz w:val="2"/>
                <w:szCs w:val="2"/>
              </w:rPr>
            </w:pPr>
          </w:p>
        </w:tc>
        <w:tc>
          <w:tcPr>
            <w:tcW w:w="3390" w:type="dxa"/>
          </w:tcPr>
          <w:p>
            <w:pPr>
              <w:pStyle w:val="TableParagraph"/>
              <w:spacing w:line="256" w:lineRule="auto"/>
              <w:ind w:left="587" w:right="150" w:hanging="480"/>
              <w:jc w:val="both"/>
              <w:rPr>
                <w:sz w:val="24"/>
              </w:rPr>
            </w:pPr>
            <w:r>
              <w:rPr>
                <w:rFonts w:ascii="Times New Roman" w:eastAsia="Times New Roman"/>
                <w:sz w:val="24"/>
              </w:rPr>
              <w:t>(5)</w:t>
            </w:r>
            <w:r>
              <w:rPr>
                <w:rFonts w:ascii="Times New Roman" w:eastAsia="Times New Roman"/>
                <w:spacing w:val="5"/>
                <w:sz w:val="24"/>
              </w:rPr>
              <w:t> </w:t>
            </w:r>
            <w:r>
              <w:rPr>
                <w:sz w:val="24"/>
              </w:rPr>
              <w:t>近五年內被查核紀錄、近</w:t>
            </w:r>
            <w:r>
              <w:rPr>
                <w:spacing w:val="-1"/>
                <w:sz w:val="24"/>
              </w:rPr>
              <w:t>五年金質獎獲獎情形、其他獲獎情形、相關懲處情</w:t>
            </w:r>
          </w:p>
          <w:p>
            <w:pPr>
              <w:pStyle w:val="TableParagraph"/>
              <w:spacing w:before="3"/>
              <w:ind w:left="587"/>
              <w:rPr>
                <w:sz w:val="24"/>
              </w:rPr>
            </w:pPr>
            <w:r>
              <w:rPr>
                <w:sz w:val="24"/>
              </w:rPr>
              <w:t>形。</w:t>
            </w:r>
          </w:p>
        </w:tc>
        <w:tc>
          <w:tcPr>
            <w:tcW w:w="1914" w:type="dxa"/>
            <w:vMerge/>
            <w:tcBorders>
              <w:top w:val="nil"/>
            </w:tcBorders>
          </w:tcPr>
          <w:p>
            <w:pPr>
              <w:rPr>
                <w:sz w:val="2"/>
                <w:szCs w:val="2"/>
              </w:rPr>
            </w:pPr>
          </w:p>
        </w:tc>
      </w:tr>
      <w:tr>
        <w:trPr>
          <w:trHeight w:val="1079" w:hRule="atLeast"/>
        </w:trPr>
        <w:tc>
          <w:tcPr>
            <w:tcW w:w="2773" w:type="dxa"/>
          </w:tcPr>
          <w:p>
            <w:pPr>
              <w:pStyle w:val="TableParagraph"/>
              <w:tabs>
                <w:tab w:pos="587" w:val="left" w:leader="none"/>
              </w:tabs>
              <w:spacing w:line="256" w:lineRule="auto"/>
              <w:ind w:left="587" w:right="253" w:hanging="480"/>
              <w:rPr>
                <w:sz w:val="24"/>
              </w:rPr>
            </w:pPr>
            <w:r>
              <w:rPr>
                <w:rFonts w:ascii="Times New Roman" w:eastAsia="Times New Roman"/>
                <w:sz w:val="24"/>
              </w:rPr>
              <w:t>2.</w:t>
              <w:tab/>
            </w:r>
            <w:r>
              <w:rPr>
                <w:spacing w:val="-1"/>
                <w:sz w:val="24"/>
              </w:rPr>
              <w:t>團隊組織及主要工</w:t>
            </w:r>
            <w:r>
              <w:rPr>
                <w:sz w:val="24"/>
              </w:rPr>
              <w:t>作人員學經歷</w:t>
            </w:r>
          </w:p>
        </w:tc>
        <w:tc>
          <w:tcPr>
            <w:tcW w:w="3390" w:type="dxa"/>
          </w:tcPr>
          <w:p>
            <w:pPr>
              <w:pStyle w:val="TableParagraph"/>
              <w:spacing w:line="256" w:lineRule="auto"/>
              <w:ind w:left="107" w:right="150"/>
              <w:rPr>
                <w:sz w:val="24"/>
              </w:rPr>
            </w:pPr>
            <w:r>
              <w:rPr>
                <w:spacing w:val="-1"/>
                <w:sz w:val="24"/>
              </w:rPr>
              <w:t>實際執行人員之經驗及專業能力，含人力配置計畫、專業證</w:t>
            </w:r>
          </w:p>
          <w:p>
            <w:pPr>
              <w:pStyle w:val="TableParagraph"/>
              <w:spacing w:before="2"/>
              <w:ind w:left="107"/>
              <w:rPr>
                <w:sz w:val="24"/>
              </w:rPr>
            </w:pPr>
            <w:r>
              <w:rPr>
                <w:sz w:val="24"/>
              </w:rPr>
              <w:t>照佐證等。</w:t>
            </w:r>
          </w:p>
        </w:tc>
        <w:tc>
          <w:tcPr>
            <w:tcW w:w="1914" w:type="dxa"/>
          </w:tcPr>
          <w:p>
            <w:pPr>
              <w:pStyle w:val="TableParagraph"/>
              <w:spacing w:before="12"/>
              <w:rPr>
                <w:sz w:val="27"/>
              </w:rPr>
            </w:pPr>
          </w:p>
          <w:p>
            <w:pPr>
              <w:pStyle w:val="TableParagraph"/>
              <w:spacing w:before="1"/>
              <w:ind w:left="334" w:right="330"/>
              <w:jc w:val="center"/>
              <w:rPr>
                <w:rFonts w:ascii="Times New Roman"/>
                <w:sz w:val="24"/>
              </w:rPr>
            </w:pPr>
            <w:r>
              <w:rPr>
                <w:rFonts w:ascii="Times New Roman"/>
                <w:sz w:val="24"/>
              </w:rPr>
              <w:t>20</w:t>
            </w:r>
          </w:p>
        </w:tc>
      </w:tr>
      <w:tr>
        <w:trPr>
          <w:trHeight w:val="1439" w:hRule="atLeast"/>
        </w:trPr>
        <w:tc>
          <w:tcPr>
            <w:tcW w:w="2773" w:type="dxa"/>
            <w:vMerge w:val="restart"/>
          </w:tcPr>
          <w:p>
            <w:pPr>
              <w:pStyle w:val="TableParagraph"/>
              <w:tabs>
                <w:tab w:pos="587" w:val="left" w:leader="none"/>
              </w:tabs>
              <w:spacing w:line="256" w:lineRule="auto"/>
              <w:ind w:left="587" w:right="253" w:hanging="480"/>
              <w:rPr>
                <w:sz w:val="24"/>
              </w:rPr>
            </w:pPr>
            <w:r>
              <w:rPr>
                <w:rFonts w:ascii="Times New Roman" w:eastAsia="Times New Roman"/>
                <w:sz w:val="24"/>
              </w:rPr>
              <w:t>3.</w:t>
              <w:tab/>
            </w:r>
            <w:r>
              <w:rPr>
                <w:spacing w:val="-1"/>
                <w:sz w:val="24"/>
              </w:rPr>
              <w:t>工程組織管理、施工及品質執行能力</w:t>
            </w:r>
          </w:p>
        </w:tc>
        <w:tc>
          <w:tcPr>
            <w:tcW w:w="3390" w:type="dxa"/>
          </w:tcPr>
          <w:p>
            <w:pPr>
              <w:pStyle w:val="TableParagraph"/>
              <w:tabs>
                <w:tab w:pos="587" w:val="left" w:leader="none"/>
              </w:tabs>
              <w:spacing w:line="256" w:lineRule="auto"/>
              <w:ind w:left="587" w:right="150" w:hanging="480"/>
              <w:rPr>
                <w:sz w:val="24"/>
              </w:rPr>
            </w:pPr>
            <w:r>
              <w:rPr>
                <w:rFonts w:ascii="Times New Roman" w:eastAsia="Times New Roman"/>
                <w:sz w:val="24"/>
              </w:rPr>
              <w:t>(1)</w:t>
              <w:tab/>
            </w:r>
            <w:r>
              <w:rPr>
                <w:sz w:val="24"/>
              </w:rPr>
              <w:t>施工規劃</w:t>
            </w:r>
            <w:r>
              <w:rPr>
                <w:rFonts w:ascii="Times New Roman" w:eastAsia="Times New Roman"/>
                <w:sz w:val="24"/>
              </w:rPr>
              <w:t>(</w:t>
            </w:r>
            <w:r>
              <w:rPr>
                <w:sz w:val="24"/>
              </w:rPr>
              <w:t>例如</w:t>
            </w:r>
            <w:r>
              <w:rPr>
                <w:rFonts w:ascii="Times New Roman" w:eastAsia="Times New Roman"/>
                <w:sz w:val="24"/>
              </w:rPr>
              <w:t>:</w:t>
            </w:r>
            <w:r>
              <w:rPr>
                <w:sz w:val="24"/>
              </w:rPr>
              <w:t>工區配置</w:t>
            </w:r>
            <w:r>
              <w:rPr>
                <w:spacing w:val="-1"/>
                <w:sz w:val="24"/>
              </w:rPr>
              <w:t>及動線、假設工程、工料來源及機具調度、現有植</w:t>
            </w:r>
          </w:p>
          <w:p>
            <w:pPr>
              <w:pStyle w:val="TableParagraph"/>
              <w:spacing w:before="2"/>
              <w:ind w:left="587"/>
              <w:rPr>
                <w:sz w:val="24"/>
              </w:rPr>
            </w:pPr>
            <w:r>
              <w:rPr>
                <w:spacing w:val="-1"/>
                <w:sz w:val="24"/>
              </w:rPr>
              <w:t>栽防護</w:t>
            </w:r>
            <w:r>
              <w:rPr>
                <w:rFonts w:ascii="Times New Roman" w:eastAsia="Times New Roman"/>
                <w:sz w:val="24"/>
              </w:rPr>
              <w:t>)</w:t>
            </w:r>
            <w:r>
              <w:rPr>
                <w:sz w:val="24"/>
              </w:rPr>
              <w:t>。</w:t>
            </w:r>
          </w:p>
        </w:tc>
        <w:tc>
          <w:tcPr>
            <w:tcW w:w="1914" w:type="dxa"/>
            <w:vMerge w:val="restart"/>
          </w:tcPr>
          <w:p>
            <w:pPr>
              <w:pStyle w:val="TableParagraph"/>
              <w:rPr>
                <w:sz w:val="26"/>
              </w:rPr>
            </w:pPr>
          </w:p>
          <w:p>
            <w:pPr>
              <w:pStyle w:val="TableParagraph"/>
              <w:rPr>
                <w:sz w:val="26"/>
              </w:rPr>
            </w:pPr>
          </w:p>
          <w:p>
            <w:pPr>
              <w:pStyle w:val="TableParagraph"/>
              <w:rPr>
                <w:sz w:val="26"/>
              </w:rPr>
            </w:pPr>
          </w:p>
          <w:p>
            <w:pPr>
              <w:pStyle w:val="TableParagraph"/>
              <w:spacing w:before="210"/>
              <w:ind w:left="814" w:right="810"/>
              <w:jc w:val="center"/>
              <w:rPr>
                <w:rFonts w:ascii="Times New Roman"/>
                <w:sz w:val="24"/>
              </w:rPr>
            </w:pPr>
            <w:r>
              <w:rPr>
                <w:rFonts w:ascii="Times New Roman"/>
                <w:sz w:val="24"/>
              </w:rPr>
              <w:t>20</w:t>
            </w:r>
          </w:p>
        </w:tc>
      </w:tr>
      <w:tr>
        <w:trPr>
          <w:trHeight w:val="720" w:hRule="atLeast"/>
        </w:trPr>
        <w:tc>
          <w:tcPr>
            <w:tcW w:w="2773" w:type="dxa"/>
            <w:vMerge/>
            <w:tcBorders>
              <w:top w:val="nil"/>
            </w:tcBorders>
          </w:tcPr>
          <w:p>
            <w:pPr>
              <w:rPr>
                <w:sz w:val="2"/>
                <w:szCs w:val="2"/>
              </w:rPr>
            </w:pPr>
          </w:p>
        </w:tc>
        <w:tc>
          <w:tcPr>
            <w:tcW w:w="3390" w:type="dxa"/>
          </w:tcPr>
          <w:p>
            <w:pPr>
              <w:pStyle w:val="TableParagraph"/>
              <w:tabs>
                <w:tab w:pos="587" w:val="left" w:leader="none"/>
              </w:tabs>
              <w:ind w:left="107"/>
              <w:rPr>
                <w:sz w:val="24"/>
              </w:rPr>
            </w:pPr>
            <w:r>
              <w:rPr>
                <w:rFonts w:ascii="Times New Roman" w:eastAsia="Times New Roman"/>
                <w:sz w:val="24"/>
              </w:rPr>
              <w:t>(2)</w:t>
              <w:tab/>
            </w:r>
            <w:r>
              <w:rPr>
                <w:sz w:val="24"/>
              </w:rPr>
              <w:t>關鍵課題分析及因應措</w:t>
            </w:r>
          </w:p>
          <w:p>
            <w:pPr>
              <w:pStyle w:val="TableParagraph"/>
              <w:spacing w:before="25"/>
              <w:ind w:left="587"/>
              <w:rPr>
                <w:sz w:val="24"/>
              </w:rPr>
            </w:pPr>
            <w:r>
              <w:rPr>
                <w:sz w:val="24"/>
              </w:rPr>
              <w:t>施。</w:t>
            </w:r>
          </w:p>
        </w:tc>
        <w:tc>
          <w:tcPr>
            <w:tcW w:w="1914" w:type="dxa"/>
            <w:vMerge/>
            <w:tcBorders>
              <w:top w:val="nil"/>
            </w:tcBorders>
          </w:tcPr>
          <w:p>
            <w:pPr>
              <w:rPr>
                <w:sz w:val="2"/>
                <w:szCs w:val="2"/>
              </w:rPr>
            </w:pPr>
          </w:p>
        </w:tc>
      </w:tr>
      <w:tr>
        <w:trPr>
          <w:trHeight w:val="719" w:hRule="atLeast"/>
        </w:trPr>
        <w:tc>
          <w:tcPr>
            <w:tcW w:w="2773" w:type="dxa"/>
            <w:vMerge/>
            <w:tcBorders>
              <w:top w:val="nil"/>
            </w:tcBorders>
          </w:tcPr>
          <w:p>
            <w:pPr>
              <w:rPr>
                <w:sz w:val="2"/>
                <w:szCs w:val="2"/>
              </w:rPr>
            </w:pPr>
          </w:p>
        </w:tc>
        <w:tc>
          <w:tcPr>
            <w:tcW w:w="3390" w:type="dxa"/>
          </w:tcPr>
          <w:p>
            <w:pPr>
              <w:pStyle w:val="TableParagraph"/>
              <w:tabs>
                <w:tab w:pos="587" w:val="left" w:leader="none"/>
              </w:tabs>
              <w:ind w:left="107"/>
              <w:rPr>
                <w:sz w:val="24"/>
              </w:rPr>
            </w:pPr>
            <w:r>
              <w:rPr>
                <w:rFonts w:ascii="Times New Roman" w:eastAsia="Times New Roman"/>
                <w:sz w:val="24"/>
              </w:rPr>
              <w:t>(3)</w:t>
              <w:tab/>
            </w:r>
            <w:r>
              <w:rPr>
                <w:sz w:val="24"/>
              </w:rPr>
              <w:t>工程進度、工期檢討及縮</w:t>
            </w:r>
          </w:p>
          <w:p>
            <w:pPr>
              <w:pStyle w:val="TableParagraph"/>
              <w:spacing w:before="24"/>
              <w:ind w:left="587"/>
              <w:rPr>
                <w:sz w:val="24"/>
              </w:rPr>
            </w:pPr>
            <w:r>
              <w:rPr>
                <w:sz w:val="24"/>
              </w:rPr>
              <w:t>短工期措施。</w:t>
            </w:r>
          </w:p>
        </w:tc>
        <w:tc>
          <w:tcPr>
            <w:tcW w:w="1914" w:type="dxa"/>
            <w:vMerge/>
            <w:tcBorders>
              <w:top w:val="nil"/>
            </w:tcBorders>
          </w:tcPr>
          <w:p>
            <w:pPr>
              <w:rPr>
                <w:sz w:val="2"/>
                <w:szCs w:val="2"/>
              </w:rPr>
            </w:pPr>
          </w:p>
        </w:tc>
      </w:tr>
      <w:tr>
        <w:trPr>
          <w:trHeight w:val="1441" w:hRule="atLeast"/>
        </w:trPr>
        <w:tc>
          <w:tcPr>
            <w:tcW w:w="2773" w:type="dxa"/>
          </w:tcPr>
          <w:p>
            <w:pPr>
              <w:pStyle w:val="TableParagraph"/>
              <w:tabs>
                <w:tab w:pos="587" w:val="left" w:leader="none"/>
              </w:tabs>
              <w:spacing w:before="2"/>
              <w:ind w:left="107"/>
              <w:rPr>
                <w:sz w:val="24"/>
              </w:rPr>
            </w:pPr>
            <w:r>
              <w:rPr>
                <w:rFonts w:ascii="Times New Roman" w:eastAsia="Times New Roman"/>
                <w:sz w:val="24"/>
              </w:rPr>
              <w:t>4.</w:t>
              <w:tab/>
            </w:r>
            <w:r>
              <w:rPr>
                <w:sz w:val="24"/>
              </w:rPr>
              <w:t>職業安全衛生管理</w:t>
            </w:r>
          </w:p>
        </w:tc>
        <w:tc>
          <w:tcPr>
            <w:tcW w:w="3390" w:type="dxa"/>
          </w:tcPr>
          <w:p>
            <w:pPr>
              <w:pStyle w:val="TableParagraph"/>
              <w:tabs>
                <w:tab w:pos="587" w:val="left" w:leader="none"/>
              </w:tabs>
              <w:spacing w:line="256" w:lineRule="auto" w:before="2"/>
              <w:ind w:left="587" w:right="150" w:hanging="480"/>
              <w:rPr>
                <w:sz w:val="24"/>
              </w:rPr>
            </w:pPr>
            <w:r>
              <w:rPr>
                <w:rFonts w:ascii="Times New Roman" w:eastAsia="Times New Roman"/>
                <w:sz w:val="24"/>
              </w:rPr>
              <w:t>(1)</w:t>
              <w:tab/>
            </w:r>
            <w:r>
              <w:rPr>
                <w:spacing w:val="-1"/>
                <w:sz w:val="24"/>
              </w:rPr>
              <w:t>職業安全衛生管理制度，</w:t>
            </w:r>
            <w:r>
              <w:rPr>
                <w:spacing w:val="-117"/>
                <w:sz w:val="24"/>
              </w:rPr>
              <w:t> </w:t>
            </w:r>
            <w:r>
              <w:rPr>
                <w:sz w:val="24"/>
              </w:rPr>
              <w:t>如政策、組織人力及資</w:t>
            </w:r>
            <w:r>
              <w:rPr>
                <w:spacing w:val="1"/>
                <w:sz w:val="24"/>
              </w:rPr>
              <w:t> </w:t>
            </w:r>
            <w:r>
              <w:rPr>
                <w:spacing w:val="-1"/>
                <w:sz w:val="24"/>
              </w:rPr>
              <w:t>源、計畫實施與落實及管</w:t>
            </w:r>
          </w:p>
          <w:p>
            <w:pPr>
              <w:pStyle w:val="TableParagraph"/>
              <w:spacing w:before="3"/>
              <w:ind w:left="587"/>
              <w:rPr>
                <w:sz w:val="24"/>
              </w:rPr>
            </w:pPr>
            <w:r>
              <w:rPr>
                <w:sz w:val="24"/>
              </w:rPr>
              <w:t>理方式。</w:t>
            </w:r>
          </w:p>
        </w:tc>
        <w:tc>
          <w:tcPr>
            <w:tcW w:w="1914" w:type="dxa"/>
          </w:tcPr>
          <w:p>
            <w:pPr>
              <w:pStyle w:val="TableParagraph"/>
              <w:rPr>
                <w:sz w:val="26"/>
              </w:rPr>
            </w:pPr>
          </w:p>
          <w:p>
            <w:pPr>
              <w:pStyle w:val="TableParagraph"/>
              <w:spacing w:before="209"/>
              <w:ind w:left="334" w:right="330"/>
              <w:jc w:val="center"/>
              <w:rPr>
                <w:rFonts w:ascii="Times New Roman"/>
                <w:sz w:val="24"/>
              </w:rPr>
            </w:pPr>
            <w:r>
              <w:rPr>
                <w:rFonts w:ascii="Times New Roman"/>
                <w:sz w:val="24"/>
              </w:rPr>
              <w:t>15</w:t>
            </w:r>
          </w:p>
        </w:tc>
      </w:tr>
    </w:tbl>
    <w:p>
      <w:pPr>
        <w:spacing w:after="0"/>
        <w:jc w:val="center"/>
        <w:rPr>
          <w:rFonts w:ascii="Times New Roman"/>
          <w:sz w:val="24"/>
        </w:rPr>
        <w:sectPr>
          <w:pgSz w:w="11910" w:h="16850"/>
          <w:pgMar w:top="1400" w:bottom="952" w:left="400" w:right="340"/>
        </w:sectPr>
      </w:pPr>
    </w:p>
    <w:tbl>
      <w:tblPr>
        <w:tblW w:w="0" w:type="auto"/>
        <w:jc w:val="left"/>
        <w:tblInd w:w="2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6"/>
        <w:gridCol w:w="3382"/>
        <w:gridCol w:w="1917"/>
      </w:tblGrid>
      <w:tr>
        <w:trPr>
          <w:trHeight w:val="1439" w:hRule="atLeast"/>
        </w:trPr>
        <w:tc>
          <w:tcPr>
            <w:tcW w:w="2776" w:type="dxa"/>
          </w:tcPr>
          <w:p>
            <w:pPr>
              <w:pStyle w:val="TableParagraph"/>
              <w:rPr>
                <w:rFonts w:ascii="Times New Roman"/>
                <w:sz w:val="24"/>
              </w:rPr>
            </w:pPr>
          </w:p>
        </w:tc>
        <w:tc>
          <w:tcPr>
            <w:tcW w:w="3382" w:type="dxa"/>
          </w:tcPr>
          <w:p>
            <w:pPr>
              <w:pStyle w:val="TableParagraph"/>
              <w:tabs>
                <w:tab w:pos="584" w:val="left" w:leader="none"/>
              </w:tabs>
              <w:spacing w:line="256" w:lineRule="auto" w:before="12"/>
              <w:ind w:left="584" w:right="161" w:hanging="480"/>
              <w:rPr>
                <w:rFonts w:ascii="Times New Roman" w:eastAsia="Times New Roman"/>
                <w:sz w:val="24"/>
              </w:rPr>
            </w:pPr>
            <w:r>
              <w:rPr>
                <w:rFonts w:ascii="Times New Roman" w:eastAsia="Times New Roman"/>
                <w:sz w:val="24"/>
              </w:rPr>
              <w:t>(2)</w:t>
              <w:tab/>
            </w:r>
            <w:r>
              <w:rPr>
                <w:sz w:val="24"/>
              </w:rPr>
              <w:t>相關職安事績等</w:t>
            </w:r>
            <w:r>
              <w:rPr>
                <w:rFonts w:ascii="Times New Roman" w:eastAsia="Times New Roman"/>
                <w:sz w:val="24"/>
              </w:rPr>
              <w:t>(</w:t>
            </w:r>
            <w:r>
              <w:rPr>
                <w:sz w:val="24"/>
              </w:rPr>
              <w:t>如金安獎等相關獲獎、</w:t>
            </w:r>
            <w:r>
              <w:rPr>
                <w:rFonts w:ascii="Times New Roman" w:eastAsia="Times New Roman"/>
                <w:spacing w:val="-1"/>
                <w:sz w:val="24"/>
              </w:rPr>
              <w:t>TOSHMS</w:t>
            </w:r>
            <w:r>
              <w:rPr>
                <w:sz w:val="24"/>
              </w:rPr>
              <w:t>、</w:t>
            </w:r>
            <w:r>
              <w:rPr>
                <w:rFonts w:ascii="Times New Roman" w:eastAsia="Times New Roman"/>
                <w:sz w:val="24"/>
              </w:rPr>
              <w:t>OHSAS</w:t>
            </w:r>
            <w:r>
              <w:rPr>
                <w:sz w:val="24"/>
              </w:rPr>
              <w:t>、</w:t>
            </w:r>
            <w:r>
              <w:rPr>
                <w:rFonts w:ascii="Times New Roman" w:eastAsia="Times New Roman"/>
                <w:sz w:val="24"/>
              </w:rPr>
              <w:t>ISO</w:t>
            </w:r>
          </w:p>
          <w:p>
            <w:pPr>
              <w:pStyle w:val="TableParagraph"/>
              <w:spacing w:line="328" w:lineRule="exact" w:before="3"/>
              <w:ind w:left="584"/>
              <w:rPr>
                <w:sz w:val="24"/>
              </w:rPr>
            </w:pPr>
            <w:r>
              <w:rPr>
                <w:sz w:val="24"/>
              </w:rPr>
              <w:t>認證等</w:t>
            </w:r>
          </w:p>
        </w:tc>
        <w:tc>
          <w:tcPr>
            <w:tcW w:w="1917" w:type="dxa"/>
          </w:tcPr>
          <w:p>
            <w:pPr>
              <w:pStyle w:val="TableParagraph"/>
              <w:rPr>
                <w:rFonts w:ascii="Times New Roman"/>
                <w:sz w:val="24"/>
              </w:rPr>
            </w:pPr>
          </w:p>
        </w:tc>
      </w:tr>
      <w:tr>
        <w:trPr>
          <w:trHeight w:val="1799" w:hRule="atLeast"/>
        </w:trPr>
        <w:tc>
          <w:tcPr>
            <w:tcW w:w="2776" w:type="dxa"/>
          </w:tcPr>
          <w:p>
            <w:pPr>
              <w:pStyle w:val="TableParagraph"/>
              <w:tabs>
                <w:tab w:pos="587" w:val="left" w:leader="none"/>
              </w:tabs>
              <w:spacing w:line="256" w:lineRule="auto" w:before="11"/>
              <w:ind w:left="587" w:right="256" w:hanging="480"/>
              <w:rPr>
                <w:sz w:val="24"/>
              </w:rPr>
            </w:pPr>
            <w:r>
              <w:rPr>
                <w:rFonts w:ascii="Times New Roman" w:eastAsia="Times New Roman"/>
                <w:sz w:val="24"/>
              </w:rPr>
              <w:t>5.</w:t>
              <w:tab/>
            </w:r>
            <w:r>
              <w:rPr>
                <w:spacing w:val="-1"/>
                <w:sz w:val="24"/>
              </w:rPr>
              <w:t>廠商承諾事項或回</w:t>
            </w:r>
            <w:r>
              <w:rPr>
                <w:sz w:val="24"/>
              </w:rPr>
              <w:t>饋措施</w:t>
            </w:r>
          </w:p>
        </w:tc>
        <w:tc>
          <w:tcPr>
            <w:tcW w:w="3382" w:type="dxa"/>
          </w:tcPr>
          <w:p>
            <w:pPr>
              <w:pStyle w:val="TableParagraph"/>
              <w:spacing w:line="256" w:lineRule="auto" w:before="11"/>
              <w:ind w:left="104" w:right="145"/>
              <w:rPr>
                <w:sz w:val="24"/>
              </w:rPr>
            </w:pPr>
            <w:r>
              <w:rPr>
                <w:sz w:val="24"/>
              </w:rPr>
              <w:t>例</w:t>
            </w:r>
            <w:r>
              <w:rPr>
                <w:rFonts w:ascii="Times New Roman" w:eastAsia="Times New Roman"/>
                <w:sz w:val="24"/>
              </w:rPr>
              <w:t>:</w:t>
            </w:r>
            <w:r>
              <w:rPr>
                <w:sz w:val="24"/>
              </w:rPr>
              <w:t>主要材料設備品牌、</w:t>
            </w:r>
            <w:r>
              <w:rPr>
                <w:rFonts w:ascii="Times New Roman" w:eastAsia="Times New Roman"/>
                <w:sz w:val="24"/>
              </w:rPr>
              <w:t>BIM</w:t>
            </w:r>
            <w:r>
              <w:rPr>
                <w:rFonts w:ascii="Times New Roman" w:eastAsia="Times New Roman"/>
                <w:spacing w:val="1"/>
                <w:sz w:val="24"/>
              </w:rPr>
              <w:t> </w:t>
            </w:r>
            <w:r>
              <w:rPr>
                <w:spacing w:val="-1"/>
                <w:sz w:val="24"/>
              </w:rPr>
              <w:t>執行計畫、參加金安獎或公共工程金質獎計畫、縮時攝影、工程影像紀錄、縮短工期可行</w:t>
            </w:r>
          </w:p>
          <w:p>
            <w:pPr>
              <w:pStyle w:val="TableParagraph"/>
              <w:spacing w:line="328" w:lineRule="exact" w:before="4"/>
              <w:ind w:left="104"/>
              <w:rPr>
                <w:sz w:val="24"/>
              </w:rPr>
            </w:pPr>
            <w:r>
              <w:rPr>
                <w:sz w:val="24"/>
              </w:rPr>
              <w:t>性或其他加值服務等。</w:t>
            </w:r>
          </w:p>
        </w:tc>
        <w:tc>
          <w:tcPr>
            <w:tcW w:w="1917" w:type="dxa"/>
          </w:tcPr>
          <w:p>
            <w:pPr>
              <w:pStyle w:val="TableParagraph"/>
              <w:rPr>
                <w:sz w:val="26"/>
              </w:rPr>
            </w:pPr>
          </w:p>
          <w:p>
            <w:pPr>
              <w:pStyle w:val="TableParagraph"/>
              <w:spacing w:before="6"/>
              <w:rPr>
                <w:sz w:val="28"/>
              </w:rPr>
            </w:pPr>
          </w:p>
          <w:p>
            <w:pPr>
              <w:pStyle w:val="TableParagraph"/>
              <w:spacing w:before="1"/>
              <w:ind w:left="759" w:right="748"/>
              <w:jc w:val="center"/>
              <w:rPr>
                <w:rFonts w:ascii="Times New Roman"/>
                <w:sz w:val="24"/>
              </w:rPr>
            </w:pPr>
            <w:r>
              <w:rPr>
                <w:rFonts w:ascii="Times New Roman"/>
                <w:sz w:val="24"/>
              </w:rPr>
              <w:t>10</w:t>
            </w:r>
          </w:p>
        </w:tc>
      </w:tr>
      <w:tr>
        <w:trPr>
          <w:trHeight w:val="1250" w:hRule="atLeast"/>
        </w:trPr>
        <w:tc>
          <w:tcPr>
            <w:tcW w:w="2776" w:type="dxa"/>
            <w:vMerge w:val="restart"/>
          </w:tcPr>
          <w:p>
            <w:pPr>
              <w:pStyle w:val="TableParagraph"/>
              <w:tabs>
                <w:tab w:pos="587" w:val="left" w:leader="none"/>
              </w:tabs>
              <w:spacing w:before="14"/>
              <w:ind w:left="107"/>
              <w:rPr>
                <w:sz w:val="24"/>
              </w:rPr>
            </w:pPr>
            <w:r>
              <w:rPr>
                <w:rFonts w:ascii="Times New Roman" w:eastAsia="Times New Roman"/>
                <w:sz w:val="24"/>
              </w:rPr>
              <w:t>6.</w:t>
              <w:tab/>
            </w:r>
            <w:r>
              <w:rPr>
                <w:sz w:val="24"/>
              </w:rPr>
              <w:t>廠商企業社會責任</w:t>
            </w:r>
          </w:p>
          <w:p>
            <w:pPr>
              <w:pStyle w:val="TableParagraph"/>
              <w:spacing w:before="25"/>
              <w:ind w:left="587"/>
              <w:rPr>
                <w:sz w:val="24"/>
              </w:rPr>
            </w:pPr>
            <w:r>
              <w:rPr>
                <w:rFonts w:ascii="Times New Roman" w:eastAsia="Times New Roman"/>
                <w:sz w:val="24"/>
              </w:rPr>
              <w:t>(CSR)</w:t>
            </w:r>
            <w:r>
              <w:rPr>
                <w:sz w:val="24"/>
              </w:rPr>
              <w:t>指標</w:t>
            </w:r>
          </w:p>
        </w:tc>
        <w:tc>
          <w:tcPr>
            <w:tcW w:w="3382" w:type="dxa"/>
          </w:tcPr>
          <w:p>
            <w:pPr>
              <w:pStyle w:val="TableParagraph"/>
              <w:spacing w:line="223" w:lineRule="auto" w:before="7"/>
              <w:ind w:left="555" w:right="174" w:hanging="428"/>
              <w:jc w:val="both"/>
              <w:rPr>
                <w:sz w:val="24"/>
              </w:rPr>
            </w:pPr>
            <w:r>
              <w:rPr>
                <w:w w:val="95"/>
                <w:sz w:val="24"/>
              </w:rPr>
              <w:t>(1)</w:t>
            </w:r>
            <w:r>
              <w:rPr>
                <w:spacing w:val="1"/>
                <w:w w:val="95"/>
                <w:sz w:val="24"/>
              </w:rPr>
              <w:t> 近一年內曾替員工普遍性</w:t>
            </w:r>
            <w:r>
              <w:rPr>
                <w:spacing w:val="-1"/>
                <w:sz w:val="24"/>
              </w:rPr>
              <w:t>加薪，配合勞動部公告之基本工資依法調升者非屬</w:t>
            </w:r>
          </w:p>
          <w:p>
            <w:pPr>
              <w:pStyle w:val="TableParagraph"/>
              <w:spacing w:line="287" w:lineRule="exact"/>
              <w:ind w:left="555"/>
              <w:rPr>
                <w:sz w:val="24"/>
              </w:rPr>
            </w:pPr>
            <w:r>
              <w:rPr>
                <w:sz w:val="24"/>
              </w:rPr>
              <w:t>加薪。</w:t>
            </w:r>
          </w:p>
        </w:tc>
        <w:tc>
          <w:tcPr>
            <w:tcW w:w="1917" w:type="dxa"/>
            <w:vMerge w:val="restart"/>
          </w:tcPr>
          <w:p>
            <w:pPr>
              <w:pStyle w:val="TableParagraph"/>
              <w:rPr>
                <w:sz w:val="26"/>
              </w:rPr>
            </w:pPr>
          </w:p>
          <w:p>
            <w:pPr>
              <w:pStyle w:val="TableParagraph"/>
              <w:rPr>
                <w:sz w:val="26"/>
              </w:rPr>
            </w:pPr>
          </w:p>
          <w:p>
            <w:pPr>
              <w:pStyle w:val="TableParagraph"/>
              <w:rPr>
                <w:sz w:val="26"/>
              </w:rPr>
            </w:pPr>
          </w:p>
          <w:p>
            <w:pPr>
              <w:pStyle w:val="TableParagraph"/>
              <w:spacing w:before="4"/>
              <w:rPr>
                <w:sz w:val="26"/>
              </w:rPr>
            </w:pPr>
          </w:p>
          <w:p>
            <w:pPr>
              <w:pStyle w:val="TableParagraph"/>
              <w:ind w:left="11"/>
              <w:jc w:val="center"/>
              <w:rPr>
                <w:rFonts w:ascii="Times New Roman"/>
                <w:sz w:val="24"/>
              </w:rPr>
            </w:pPr>
            <w:r>
              <w:rPr>
                <w:rFonts w:ascii="Times New Roman"/>
                <w:sz w:val="24"/>
              </w:rPr>
              <w:t>5</w:t>
            </w:r>
          </w:p>
        </w:tc>
      </w:tr>
      <w:tr>
        <w:trPr>
          <w:trHeight w:val="1559" w:hRule="atLeast"/>
        </w:trPr>
        <w:tc>
          <w:tcPr>
            <w:tcW w:w="2776" w:type="dxa"/>
            <w:vMerge/>
            <w:tcBorders>
              <w:top w:val="nil"/>
            </w:tcBorders>
          </w:tcPr>
          <w:p>
            <w:pPr>
              <w:rPr>
                <w:sz w:val="2"/>
                <w:szCs w:val="2"/>
              </w:rPr>
            </w:pPr>
          </w:p>
        </w:tc>
        <w:tc>
          <w:tcPr>
            <w:tcW w:w="3382" w:type="dxa"/>
          </w:tcPr>
          <w:p>
            <w:pPr>
              <w:pStyle w:val="TableParagraph"/>
              <w:spacing w:line="223" w:lineRule="auto" w:before="4"/>
              <w:ind w:left="507" w:right="222" w:hanging="428"/>
              <w:jc w:val="both"/>
              <w:rPr>
                <w:rFonts w:ascii="Times New Roman" w:eastAsia="Times New Roman"/>
                <w:sz w:val="24"/>
              </w:rPr>
            </w:pPr>
            <w:r>
              <w:rPr>
                <w:w w:val="95"/>
                <w:sz w:val="24"/>
              </w:rPr>
              <w:t>(2)</w:t>
            </w:r>
            <w:r>
              <w:rPr>
                <w:spacing w:val="1"/>
                <w:w w:val="95"/>
                <w:sz w:val="24"/>
              </w:rPr>
              <w:t> 於投標文件載明後續履約</w:t>
            </w:r>
            <w:r>
              <w:rPr>
                <w:spacing w:val="-1"/>
                <w:sz w:val="24"/>
              </w:rPr>
              <w:t>期間給與全職從事本採購案之員工薪資 </w:t>
            </w:r>
            <w:r>
              <w:rPr>
                <w:rFonts w:ascii="Times New Roman" w:eastAsia="Times New Roman"/>
                <w:sz w:val="24"/>
              </w:rPr>
              <w:t>(</w:t>
            </w:r>
            <w:r>
              <w:rPr>
                <w:sz w:val="24"/>
              </w:rPr>
              <w:t>不含加班費</w:t>
            </w:r>
            <w:r>
              <w:rPr>
                <w:rFonts w:ascii="Times New Roman" w:eastAsia="Times New Roman"/>
                <w:sz w:val="24"/>
              </w:rPr>
              <w:t>)</w:t>
            </w:r>
            <w:r>
              <w:rPr>
                <w:sz w:val="24"/>
              </w:rPr>
              <w:t>至少新臺幣（下同）</w:t>
            </w:r>
            <w:r>
              <w:rPr>
                <w:rFonts w:ascii="Times New Roman" w:eastAsia="Times New Roman"/>
                <w:sz w:val="24"/>
              </w:rPr>
              <w:t>3</w:t>
            </w:r>
          </w:p>
          <w:p>
            <w:pPr>
              <w:pStyle w:val="TableParagraph"/>
              <w:spacing w:line="286" w:lineRule="exact"/>
              <w:ind w:left="507"/>
              <w:rPr>
                <w:sz w:val="24"/>
              </w:rPr>
            </w:pPr>
            <w:r>
              <w:rPr>
                <w:sz w:val="24"/>
              </w:rPr>
              <w:t>萬元以上。</w:t>
            </w:r>
          </w:p>
        </w:tc>
        <w:tc>
          <w:tcPr>
            <w:tcW w:w="1917" w:type="dxa"/>
            <w:vMerge/>
            <w:tcBorders>
              <w:top w:val="nil"/>
            </w:tcBorders>
          </w:tcPr>
          <w:p>
            <w:pPr>
              <w:rPr>
                <w:sz w:val="2"/>
                <w:szCs w:val="2"/>
              </w:rPr>
            </w:pPr>
          </w:p>
        </w:tc>
      </w:tr>
      <w:tr>
        <w:trPr>
          <w:trHeight w:val="362" w:hRule="atLeast"/>
        </w:trPr>
        <w:tc>
          <w:tcPr>
            <w:tcW w:w="2776" w:type="dxa"/>
            <w:vMerge/>
            <w:tcBorders>
              <w:top w:val="nil"/>
            </w:tcBorders>
          </w:tcPr>
          <w:p>
            <w:pPr>
              <w:rPr>
                <w:sz w:val="2"/>
                <w:szCs w:val="2"/>
              </w:rPr>
            </w:pPr>
          </w:p>
        </w:tc>
        <w:tc>
          <w:tcPr>
            <w:tcW w:w="3382" w:type="dxa"/>
          </w:tcPr>
          <w:p>
            <w:pPr>
              <w:pStyle w:val="TableParagraph"/>
              <w:spacing w:line="328" w:lineRule="exact" w:before="14"/>
              <w:ind w:left="104"/>
              <w:rPr>
                <w:sz w:val="24"/>
              </w:rPr>
            </w:pPr>
            <w:r>
              <w:rPr>
                <w:sz w:val="24"/>
              </w:rPr>
              <w:t>(3)</w:t>
            </w:r>
            <w:r>
              <w:rPr>
                <w:spacing w:val="-11"/>
                <w:sz w:val="24"/>
              </w:rPr>
              <w:t> 辦理綠色採購。</w:t>
            </w:r>
          </w:p>
        </w:tc>
        <w:tc>
          <w:tcPr>
            <w:tcW w:w="1917" w:type="dxa"/>
            <w:vMerge/>
            <w:tcBorders>
              <w:top w:val="nil"/>
            </w:tcBorders>
          </w:tcPr>
          <w:p>
            <w:pPr>
              <w:rPr>
                <w:sz w:val="2"/>
                <w:szCs w:val="2"/>
              </w:rPr>
            </w:pPr>
          </w:p>
        </w:tc>
      </w:tr>
      <w:tr>
        <w:trPr>
          <w:trHeight w:val="359" w:hRule="atLeast"/>
        </w:trPr>
        <w:tc>
          <w:tcPr>
            <w:tcW w:w="2776" w:type="dxa"/>
          </w:tcPr>
          <w:p>
            <w:pPr>
              <w:pStyle w:val="TableParagraph"/>
              <w:tabs>
                <w:tab w:pos="587" w:val="left" w:leader="none"/>
              </w:tabs>
              <w:spacing w:line="328" w:lineRule="exact" w:before="11"/>
              <w:ind w:left="107"/>
              <w:rPr>
                <w:sz w:val="24"/>
              </w:rPr>
            </w:pPr>
            <w:r>
              <w:rPr>
                <w:rFonts w:ascii="Times New Roman" w:eastAsia="Times New Roman"/>
                <w:sz w:val="24"/>
              </w:rPr>
              <w:t>7.</w:t>
              <w:tab/>
            </w:r>
            <w:r>
              <w:rPr>
                <w:sz w:val="24"/>
              </w:rPr>
              <w:t>簡報及詢答</w:t>
            </w:r>
          </w:p>
        </w:tc>
        <w:tc>
          <w:tcPr>
            <w:tcW w:w="3382" w:type="dxa"/>
          </w:tcPr>
          <w:p>
            <w:pPr>
              <w:pStyle w:val="TableParagraph"/>
              <w:rPr>
                <w:rFonts w:ascii="Times New Roman"/>
                <w:sz w:val="24"/>
              </w:rPr>
            </w:pPr>
          </w:p>
        </w:tc>
        <w:tc>
          <w:tcPr>
            <w:tcW w:w="1917" w:type="dxa"/>
          </w:tcPr>
          <w:p>
            <w:pPr>
              <w:pStyle w:val="TableParagraph"/>
              <w:spacing w:before="42"/>
              <w:ind w:left="759" w:right="748"/>
              <w:jc w:val="center"/>
              <w:rPr>
                <w:rFonts w:ascii="Times New Roman"/>
                <w:sz w:val="24"/>
              </w:rPr>
            </w:pPr>
            <w:r>
              <w:rPr>
                <w:rFonts w:ascii="Times New Roman"/>
                <w:sz w:val="24"/>
              </w:rPr>
              <w:t>10</w:t>
            </w:r>
          </w:p>
        </w:tc>
      </w:tr>
      <w:tr>
        <w:trPr>
          <w:trHeight w:val="359" w:hRule="atLeast"/>
        </w:trPr>
        <w:tc>
          <w:tcPr>
            <w:tcW w:w="6158" w:type="dxa"/>
            <w:gridSpan w:val="2"/>
          </w:tcPr>
          <w:p>
            <w:pPr>
              <w:pStyle w:val="TableParagraph"/>
              <w:spacing w:line="328" w:lineRule="exact" w:before="11"/>
              <w:ind w:right="92"/>
              <w:jc w:val="right"/>
              <w:rPr>
                <w:sz w:val="24"/>
              </w:rPr>
            </w:pPr>
            <w:r>
              <w:rPr>
                <w:sz w:val="24"/>
              </w:rPr>
              <w:t>總分</w:t>
            </w:r>
          </w:p>
        </w:tc>
        <w:tc>
          <w:tcPr>
            <w:tcW w:w="1917" w:type="dxa"/>
          </w:tcPr>
          <w:p>
            <w:pPr>
              <w:pStyle w:val="TableParagraph"/>
              <w:spacing w:before="42"/>
              <w:ind w:left="759" w:right="748"/>
              <w:jc w:val="center"/>
              <w:rPr>
                <w:rFonts w:ascii="Times New Roman"/>
                <w:sz w:val="24"/>
              </w:rPr>
            </w:pPr>
            <w:r>
              <w:rPr>
                <w:rFonts w:ascii="Times New Roman"/>
                <w:sz w:val="24"/>
              </w:rPr>
              <w:t>100</w:t>
            </w:r>
          </w:p>
        </w:tc>
      </w:tr>
    </w:tbl>
    <w:p>
      <w:pPr>
        <w:pStyle w:val="BodyText"/>
        <w:spacing w:line="223" w:lineRule="auto" w:before="8"/>
        <w:ind w:right="1082" w:hanging="504"/>
      </w:pPr>
      <w:r>
        <w:rPr>
          <w:spacing w:val="-1"/>
        </w:rPr>
        <w:t>(二)倘受評廠商之企劃書內容未盡符合招標文件規定，除本審查須知或其</w:t>
      </w:r>
      <w:r>
        <w:rPr/>
        <w:t>他招標文件之審查規定，已載明不符合者不納入為審查對象者外，</w:t>
      </w:r>
      <w:r>
        <w:rPr>
          <w:spacing w:val="1"/>
        </w:rPr>
        <w:t> </w:t>
      </w:r>
      <w:r>
        <w:rPr>
          <w:spacing w:val="-3"/>
        </w:rPr>
        <w:t>仍得參加審查，並依「採購評選委員會審議規則」第 </w:t>
      </w:r>
      <w:r>
        <w:rPr/>
        <w:t>3</w:t>
      </w:r>
      <w:r>
        <w:rPr>
          <w:spacing w:val="-10"/>
        </w:rPr>
        <w:t> 條規定送審</w:t>
      </w:r>
      <w:r>
        <w:rPr/>
        <w:t>查委員會供審查參考，審查委員依不符合之情形，例如無資料、有錯誤、不符合需求者，給予各審查項目或子項較低之評分。</w:t>
      </w:r>
    </w:p>
    <w:p>
      <w:pPr>
        <w:pStyle w:val="BodyText"/>
        <w:spacing w:line="308" w:lineRule="exact"/>
        <w:ind w:left="2401"/>
      </w:pPr>
      <w:r>
        <w:rPr/>
        <w:t>(三)廠商投標文件內容於各評選項目之表現及評分：</w:t>
      </w:r>
    </w:p>
    <w:p>
      <w:pPr>
        <w:pStyle w:val="ListParagraph"/>
        <w:numPr>
          <w:ilvl w:val="0"/>
          <w:numId w:val="10"/>
        </w:numPr>
        <w:tabs>
          <w:tab w:pos="3122" w:val="left" w:leader="none"/>
        </w:tabs>
        <w:spacing w:line="313" w:lineRule="exact" w:before="0" w:after="0"/>
        <w:ind w:left="3121" w:right="0" w:hanging="361"/>
        <w:jc w:val="left"/>
        <w:rPr>
          <w:sz w:val="24"/>
        </w:rPr>
      </w:pPr>
      <w:r>
        <w:rPr>
          <w:spacing w:val="-1"/>
          <w:sz w:val="24"/>
        </w:rPr>
        <w:t>屬優者</w:t>
      </w:r>
      <w:r>
        <w:rPr>
          <w:rFonts w:ascii="Times New Roman" w:eastAsia="Times New Roman"/>
          <w:spacing w:val="-1"/>
          <w:sz w:val="24"/>
        </w:rPr>
        <w:t>(</w:t>
      </w:r>
      <w:r>
        <w:rPr>
          <w:spacing w:val="-5"/>
          <w:sz w:val="24"/>
        </w:rPr>
        <w:t>高水準，明顯超越需求；給予該項 </w:t>
      </w:r>
      <w:r>
        <w:rPr>
          <w:rFonts w:ascii="Times New Roman" w:eastAsia="Times New Roman"/>
          <w:sz w:val="24"/>
        </w:rPr>
        <w:t>85%</w:t>
      </w:r>
      <w:r>
        <w:rPr>
          <w:sz w:val="24"/>
        </w:rPr>
        <w:t>～</w:t>
      </w:r>
      <w:r>
        <w:rPr>
          <w:rFonts w:ascii="Times New Roman" w:eastAsia="Times New Roman"/>
          <w:sz w:val="24"/>
        </w:rPr>
        <w:t>100%</w:t>
      </w:r>
      <w:r>
        <w:rPr>
          <w:sz w:val="24"/>
        </w:rPr>
        <w:t>之評分</w:t>
      </w:r>
      <w:r>
        <w:rPr>
          <w:rFonts w:ascii="Times New Roman" w:eastAsia="Times New Roman"/>
          <w:sz w:val="24"/>
        </w:rPr>
        <w:t>)</w:t>
      </w:r>
      <w:r>
        <w:rPr>
          <w:sz w:val="24"/>
        </w:rPr>
        <w:t>。</w:t>
      </w:r>
    </w:p>
    <w:p>
      <w:pPr>
        <w:pStyle w:val="ListParagraph"/>
        <w:numPr>
          <w:ilvl w:val="0"/>
          <w:numId w:val="10"/>
        </w:numPr>
        <w:tabs>
          <w:tab w:pos="3122" w:val="left" w:leader="none"/>
        </w:tabs>
        <w:spacing w:line="223" w:lineRule="auto" w:before="5" w:after="0"/>
        <w:ind w:left="3121" w:right="1504" w:hanging="360"/>
        <w:jc w:val="left"/>
        <w:rPr>
          <w:sz w:val="24"/>
        </w:rPr>
      </w:pPr>
      <w:r>
        <w:rPr>
          <w:spacing w:val="-1"/>
          <w:sz w:val="24"/>
        </w:rPr>
        <w:t>屬佳者</w:t>
      </w:r>
      <w:r>
        <w:rPr>
          <w:rFonts w:ascii="Times New Roman" w:eastAsia="Times New Roman"/>
          <w:spacing w:val="-1"/>
          <w:sz w:val="24"/>
        </w:rPr>
        <w:t>(</w:t>
      </w:r>
      <w:r>
        <w:rPr>
          <w:spacing w:val="-5"/>
          <w:sz w:val="24"/>
        </w:rPr>
        <w:t>高於一般水準，略超越需求；給予該項 </w:t>
      </w:r>
      <w:r>
        <w:rPr>
          <w:rFonts w:ascii="Times New Roman" w:eastAsia="Times New Roman"/>
          <w:sz w:val="24"/>
        </w:rPr>
        <w:t>76%</w:t>
      </w:r>
      <w:r>
        <w:rPr>
          <w:sz w:val="24"/>
        </w:rPr>
        <w:t>～</w:t>
      </w:r>
      <w:r>
        <w:rPr>
          <w:rFonts w:ascii="Times New Roman" w:eastAsia="Times New Roman"/>
          <w:sz w:val="24"/>
        </w:rPr>
        <w:t>84%</w:t>
      </w:r>
      <w:r>
        <w:rPr>
          <w:sz w:val="24"/>
        </w:rPr>
        <w:t>之評分</w:t>
      </w:r>
      <w:r>
        <w:rPr>
          <w:rFonts w:ascii="Times New Roman" w:eastAsia="Times New Roman"/>
          <w:sz w:val="24"/>
        </w:rPr>
        <w:t>)</w:t>
      </w:r>
      <w:r>
        <w:rPr>
          <w:sz w:val="24"/>
        </w:rPr>
        <w:t>。</w:t>
      </w:r>
    </w:p>
    <w:p>
      <w:pPr>
        <w:pStyle w:val="ListParagraph"/>
        <w:numPr>
          <w:ilvl w:val="0"/>
          <w:numId w:val="10"/>
        </w:numPr>
        <w:tabs>
          <w:tab w:pos="3122" w:val="left" w:leader="none"/>
        </w:tabs>
        <w:spacing w:line="307" w:lineRule="exact" w:before="0" w:after="0"/>
        <w:ind w:left="3121" w:right="0" w:hanging="361"/>
        <w:jc w:val="left"/>
        <w:rPr>
          <w:sz w:val="24"/>
        </w:rPr>
      </w:pPr>
      <w:r>
        <w:rPr>
          <w:spacing w:val="-1"/>
          <w:sz w:val="24"/>
        </w:rPr>
        <w:t>屬普通者</w:t>
      </w:r>
      <w:r>
        <w:rPr>
          <w:rFonts w:ascii="Times New Roman" w:eastAsia="Times New Roman"/>
          <w:spacing w:val="-1"/>
          <w:sz w:val="24"/>
        </w:rPr>
        <w:t>(</w:t>
      </w:r>
      <w:r>
        <w:rPr>
          <w:spacing w:val="-4"/>
          <w:sz w:val="24"/>
        </w:rPr>
        <w:t>一般水準，符合需求；給予該項 </w:t>
      </w:r>
      <w:r>
        <w:rPr>
          <w:rFonts w:ascii="Times New Roman" w:eastAsia="Times New Roman"/>
          <w:sz w:val="24"/>
        </w:rPr>
        <w:t>70%</w:t>
      </w:r>
      <w:r>
        <w:rPr>
          <w:sz w:val="24"/>
        </w:rPr>
        <w:t>～</w:t>
      </w:r>
      <w:r>
        <w:rPr>
          <w:rFonts w:ascii="Times New Roman" w:eastAsia="Times New Roman"/>
          <w:sz w:val="24"/>
        </w:rPr>
        <w:t>75%</w:t>
      </w:r>
      <w:r>
        <w:rPr>
          <w:sz w:val="24"/>
        </w:rPr>
        <w:t>之評分</w:t>
      </w:r>
      <w:r>
        <w:rPr>
          <w:rFonts w:ascii="Times New Roman" w:eastAsia="Times New Roman"/>
          <w:sz w:val="24"/>
        </w:rPr>
        <w:t>)</w:t>
      </w:r>
      <w:r>
        <w:rPr>
          <w:sz w:val="24"/>
        </w:rPr>
        <w:t>。</w:t>
      </w:r>
    </w:p>
    <w:p>
      <w:pPr>
        <w:pStyle w:val="ListParagraph"/>
        <w:numPr>
          <w:ilvl w:val="0"/>
          <w:numId w:val="10"/>
        </w:numPr>
        <w:tabs>
          <w:tab w:pos="3122" w:val="left" w:leader="none"/>
        </w:tabs>
        <w:spacing w:line="223" w:lineRule="auto" w:before="5" w:after="0"/>
        <w:ind w:left="3121" w:right="1504" w:hanging="360"/>
        <w:jc w:val="left"/>
        <w:rPr>
          <w:sz w:val="24"/>
        </w:rPr>
      </w:pPr>
      <w:r>
        <w:rPr>
          <w:spacing w:val="-1"/>
          <w:sz w:val="24"/>
        </w:rPr>
        <w:t>屬差者</w:t>
      </w:r>
      <w:r>
        <w:rPr>
          <w:rFonts w:ascii="Times New Roman" w:eastAsia="Times New Roman"/>
          <w:spacing w:val="-1"/>
          <w:sz w:val="24"/>
        </w:rPr>
        <w:t>(</w:t>
      </w:r>
      <w:r>
        <w:rPr>
          <w:spacing w:val="-5"/>
          <w:sz w:val="24"/>
        </w:rPr>
        <w:t>低於一般水準，略低於需求；給予該項 </w:t>
      </w:r>
      <w:r>
        <w:rPr>
          <w:rFonts w:ascii="Times New Roman" w:eastAsia="Times New Roman"/>
          <w:sz w:val="24"/>
        </w:rPr>
        <w:t>60%</w:t>
      </w:r>
      <w:r>
        <w:rPr>
          <w:sz w:val="24"/>
        </w:rPr>
        <w:t>～</w:t>
      </w:r>
      <w:r>
        <w:rPr>
          <w:rFonts w:ascii="Times New Roman" w:eastAsia="Times New Roman"/>
          <w:sz w:val="24"/>
        </w:rPr>
        <w:t>69%</w:t>
      </w:r>
      <w:r>
        <w:rPr>
          <w:sz w:val="24"/>
        </w:rPr>
        <w:t>之評分</w:t>
      </w:r>
      <w:r>
        <w:rPr>
          <w:rFonts w:ascii="Times New Roman" w:eastAsia="Times New Roman"/>
          <w:sz w:val="24"/>
        </w:rPr>
        <w:t>)</w:t>
      </w:r>
      <w:r>
        <w:rPr>
          <w:sz w:val="24"/>
        </w:rPr>
        <w:t>。</w:t>
      </w:r>
    </w:p>
    <w:p>
      <w:pPr>
        <w:pStyle w:val="ListParagraph"/>
        <w:numPr>
          <w:ilvl w:val="0"/>
          <w:numId w:val="10"/>
        </w:numPr>
        <w:tabs>
          <w:tab w:pos="3122" w:val="left" w:leader="none"/>
        </w:tabs>
        <w:spacing w:line="223" w:lineRule="auto" w:before="0" w:after="0"/>
        <w:ind w:left="3121" w:right="1494" w:hanging="360"/>
        <w:jc w:val="left"/>
        <w:rPr>
          <w:sz w:val="24"/>
        </w:rPr>
      </w:pPr>
      <w:r>
        <w:rPr>
          <w:spacing w:val="-1"/>
          <w:sz w:val="24"/>
        </w:rPr>
        <w:t>屬劣者</w:t>
      </w:r>
      <w:r>
        <w:rPr>
          <w:rFonts w:ascii="Times New Roman" w:eastAsia="Times New Roman"/>
          <w:spacing w:val="-1"/>
          <w:sz w:val="24"/>
        </w:rPr>
        <w:t>(</w:t>
      </w:r>
      <w:r>
        <w:rPr>
          <w:spacing w:val="-5"/>
          <w:sz w:val="24"/>
        </w:rPr>
        <w:t>無資料、有錯誤、不符合需求；給予該項 </w:t>
      </w:r>
      <w:r>
        <w:rPr>
          <w:rFonts w:ascii="Times New Roman" w:eastAsia="Times New Roman"/>
          <w:sz w:val="24"/>
        </w:rPr>
        <w:t>0%~59%</w:t>
      </w:r>
      <w:r>
        <w:rPr>
          <w:sz w:val="24"/>
        </w:rPr>
        <w:t>之評分</w:t>
      </w:r>
      <w:r>
        <w:rPr>
          <w:rFonts w:ascii="Times New Roman" w:eastAsia="Times New Roman"/>
          <w:sz w:val="24"/>
        </w:rPr>
        <w:t>)</w:t>
      </w:r>
      <w:r>
        <w:rPr>
          <w:sz w:val="24"/>
        </w:rPr>
        <w:t>。</w:t>
      </w:r>
    </w:p>
    <w:p>
      <w:pPr>
        <w:pStyle w:val="BodyText"/>
        <w:spacing w:line="307" w:lineRule="exact"/>
        <w:ind w:left="1878"/>
      </w:pPr>
      <w:r>
        <w:rPr/>
        <w:t>四、簡報：辦理廠商簡報，並依下列規定辦理：</w:t>
      </w:r>
    </w:p>
    <w:p>
      <w:pPr>
        <w:pStyle w:val="BodyText"/>
        <w:spacing w:line="223" w:lineRule="auto" w:before="5"/>
        <w:ind w:right="1082" w:hanging="504"/>
      </w:pPr>
      <w:r>
        <w:rPr>
          <w:spacing w:val="-1"/>
        </w:rPr>
        <w:t>(一)簡報之順序於審查會議開始前，依各合格廠商投標文件送達時間先後</w:t>
      </w:r>
      <w:r>
        <w:rPr/>
        <w:t>順序決定。</w:t>
      </w:r>
      <w:r>
        <w:rPr>
          <w:spacing w:val="-7"/>
          <w:u w:val="single"/>
        </w:rPr>
        <w:t>廠商簡報前如唱名 </w:t>
      </w:r>
      <w:r>
        <w:rPr>
          <w:rFonts w:ascii="Times New Roman" w:eastAsia="Times New Roman"/>
          <w:u w:val="single"/>
        </w:rPr>
        <w:t>3 </w:t>
      </w:r>
      <w:r>
        <w:rPr>
          <w:u w:val="single"/>
        </w:rPr>
        <w:t>次未到者（包括遲到者），視同放棄簡報及答詢權利，且該廠商之「簡報及答詢」項目以零分計算</w:t>
      </w:r>
      <w:r>
        <w:rPr/>
        <w:t>。</w:t>
      </w:r>
    </w:p>
    <w:p>
      <w:pPr>
        <w:pStyle w:val="BodyText"/>
        <w:spacing w:line="225" w:lineRule="auto"/>
        <w:ind w:right="1202" w:hanging="504"/>
      </w:pPr>
      <w:r>
        <w:rPr>
          <w:spacing w:val="-1"/>
        </w:rPr>
        <w:t>(二)廠商參與簡報相關成員不得超過【 </w:t>
      </w:r>
      <w:r>
        <w:rPr>
          <w:rFonts w:ascii="Times New Roman" w:eastAsia="Times New Roman"/>
        </w:rPr>
        <w:t>5</w:t>
      </w:r>
      <w:r>
        <w:rPr>
          <w:rFonts w:ascii="Times New Roman" w:eastAsia="Times New Roman"/>
          <w:spacing w:val="52"/>
        </w:rPr>
        <w:t> </w:t>
      </w:r>
      <w:r>
        <w:rPr/>
        <w:t>】人（含設備操作及協助人員等），簡報人員需為本案計畫主持人，如計畫主持人因故無法參加</w:t>
      </w:r>
    </w:p>
    <w:p>
      <w:pPr>
        <w:spacing w:after="0" w:line="225" w:lineRule="auto"/>
        <w:sectPr>
          <w:type w:val="continuous"/>
          <w:pgSz w:w="11910" w:h="16850"/>
          <w:pgMar w:top="1440" w:bottom="280" w:left="400" w:right="340"/>
        </w:sectPr>
      </w:pPr>
    </w:p>
    <w:p>
      <w:pPr>
        <w:pStyle w:val="BodyText"/>
        <w:spacing w:line="223" w:lineRule="auto" w:before="44"/>
        <w:ind w:right="1299"/>
      </w:pPr>
      <w:r>
        <w:rPr>
          <w:spacing w:val="-1"/>
        </w:rPr>
        <w:t>簡報時，應由協同主持人或經本委員會同意由廠商其他工作成員代</w:t>
      </w:r>
      <w:r>
        <w:rPr/>
        <w:t>表簡報。</w:t>
      </w:r>
    </w:p>
    <w:p>
      <w:pPr>
        <w:pStyle w:val="BodyText"/>
        <w:spacing w:line="307" w:lineRule="exact"/>
        <w:ind w:left="2401"/>
      </w:pPr>
      <w:r>
        <w:rPr/>
        <w:t>(三)</w:t>
      </w:r>
      <w:r>
        <w:rPr>
          <w:u w:val="single"/>
        </w:rPr>
        <w:t>簡報時間不得超過【 </w:t>
      </w:r>
      <w:r>
        <w:rPr>
          <w:rFonts w:ascii="Times New Roman" w:eastAsia="Times New Roman"/>
          <w:u w:val="single"/>
        </w:rPr>
        <w:t>15</w:t>
      </w:r>
      <w:r>
        <w:rPr>
          <w:rFonts w:ascii="Times New Roman" w:eastAsia="Times New Roman"/>
          <w:spacing w:val="1"/>
          <w:u w:val="single"/>
        </w:rPr>
        <w:t> </w:t>
      </w:r>
      <w:r>
        <w:rPr>
          <w:u w:val="single"/>
        </w:rPr>
        <w:t>】分鐘，逾時將強制停止簡報，本校</w:t>
      </w:r>
    </w:p>
    <w:p>
      <w:pPr>
        <w:pStyle w:val="BodyText"/>
        <w:spacing w:line="223" w:lineRule="auto" w:before="5"/>
        <w:ind w:right="1178"/>
      </w:pPr>
      <w:r>
        <w:rPr>
          <w:u w:val="single"/>
        </w:rPr>
        <w:t>工作人員於第【 </w:t>
      </w:r>
      <w:r>
        <w:rPr>
          <w:rFonts w:ascii="Times New Roman" w:eastAsia="Times New Roman"/>
          <w:u w:val="single"/>
        </w:rPr>
        <w:t>13</w:t>
      </w:r>
      <w:r>
        <w:rPr>
          <w:rFonts w:ascii="Times New Roman" w:eastAsia="Times New Roman"/>
          <w:spacing w:val="1"/>
          <w:u w:val="single"/>
        </w:rPr>
        <w:t> </w:t>
      </w:r>
      <w:r>
        <w:rPr>
          <w:u w:val="single"/>
        </w:rPr>
        <w:t>】分鐘按鈴一響提示，第【 </w:t>
      </w:r>
      <w:r>
        <w:rPr>
          <w:rFonts w:ascii="Times New Roman" w:eastAsia="Times New Roman"/>
          <w:u w:val="single"/>
        </w:rPr>
        <w:t>15</w:t>
      </w:r>
      <w:r>
        <w:rPr>
          <w:rFonts w:ascii="Times New Roman" w:eastAsia="Times New Roman"/>
          <w:spacing w:val="60"/>
          <w:u w:val="single"/>
        </w:rPr>
        <w:t> </w:t>
      </w:r>
      <w:r>
        <w:rPr>
          <w:u w:val="single"/>
        </w:rPr>
        <w:t>】分鐘按鈴二</w:t>
      </w:r>
      <w:r>
        <w:rPr>
          <w:spacing w:val="-3"/>
          <w:u w:val="single"/>
        </w:rPr>
        <w:t>響結束簡報；本案採【統問統答，審查委員全部 </w:t>
      </w:r>
      <w:r>
        <w:rPr>
          <w:rFonts w:ascii="Times New Roman" w:eastAsia="Times New Roman"/>
          <w:u w:val="single"/>
        </w:rPr>
        <w:t>1 </w:t>
      </w:r>
      <w:r>
        <w:rPr>
          <w:u w:val="single"/>
        </w:rPr>
        <w:t>次提問完畢後，</w:t>
      </w:r>
      <w:r>
        <w:rPr>
          <w:spacing w:val="1"/>
          <w:u w:val="single"/>
        </w:rPr>
        <w:t> </w:t>
      </w:r>
      <w:r>
        <w:rPr>
          <w:u w:val="single"/>
        </w:rPr>
        <w:t>投標廠商綜合回答所有提問】方式，時間不得超過【 </w:t>
      </w:r>
      <w:r>
        <w:rPr>
          <w:rFonts w:ascii="Times New Roman" w:eastAsia="Times New Roman"/>
          <w:u w:val="single"/>
        </w:rPr>
        <w:t>10</w:t>
      </w:r>
      <w:r>
        <w:rPr>
          <w:rFonts w:ascii="Times New Roman" w:eastAsia="Times New Roman"/>
          <w:spacing w:val="1"/>
          <w:u w:val="single"/>
        </w:rPr>
        <w:t> </w:t>
      </w:r>
      <w:r>
        <w:rPr>
          <w:u w:val="single"/>
        </w:rPr>
        <w:t>】分鐘，</w:t>
      </w:r>
      <w:r>
        <w:rPr>
          <w:spacing w:val="1"/>
          <w:u w:val="single"/>
        </w:rPr>
        <w:t> </w:t>
      </w:r>
      <w:r>
        <w:rPr>
          <w:u w:val="single"/>
        </w:rPr>
        <w:t>本校工作人員於第【</w:t>
      </w:r>
      <w:r>
        <w:rPr>
          <w:rFonts w:ascii="Times New Roman" w:eastAsia="Times New Roman"/>
          <w:u w:val="single"/>
        </w:rPr>
        <w:t>8</w:t>
      </w:r>
      <w:r>
        <w:rPr>
          <w:u w:val="single"/>
        </w:rPr>
        <w:t>】分鐘按鈴一響提示，第【 </w:t>
      </w:r>
      <w:r>
        <w:rPr>
          <w:rFonts w:ascii="Times New Roman" w:eastAsia="Times New Roman"/>
          <w:u w:val="single"/>
        </w:rPr>
        <w:t>10</w:t>
      </w:r>
      <w:r>
        <w:rPr>
          <w:rFonts w:ascii="Times New Roman" w:eastAsia="Times New Roman"/>
          <w:spacing w:val="1"/>
          <w:u w:val="single"/>
        </w:rPr>
        <w:t> </w:t>
      </w:r>
      <w:r>
        <w:rPr>
          <w:u w:val="single"/>
        </w:rPr>
        <w:t>】分鐘按鈴二響結束答覆</w:t>
      </w:r>
      <w:r>
        <w:rPr/>
        <w:t>。</w:t>
      </w:r>
    </w:p>
    <w:p>
      <w:pPr>
        <w:pStyle w:val="BodyText"/>
        <w:spacing w:line="223" w:lineRule="auto" w:before="2"/>
        <w:ind w:right="1083" w:hanging="504"/>
      </w:pPr>
      <w:r>
        <w:rPr>
          <w:spacing w:val="-1"/>
        </w:rPr>
        <w:t>(四)投標廠商依招標文件規定進行簡報時，應以投標文件之內容為限，不</w:t>
      </w:r>
      <w:r>
        <w:rPr/>
        <w:t>得利用簡報更改投標文件內容，廠商另行提出變更或補充資料者，</w:t>
      </w:r>
      <w:r>
        <w:rPr>
          <w:spacing w:val="1"/>
        </w:rPr>
        <w:t> </w:t>
      </w:r>
      <w:r>
        <w:rPr/>
        <w:t>該資料應不納入審查；所以，</w:t>
      </w:r>
      <w:r>
        <w:rPr>
          <w:b/>
          <w:color w:val="0000FF"/>
          <w:u w:val="single" w:color="0000FF"/>
        </w:rPr>
        <w:t>廠商簡報資料不得於現場發送</w:t>
      </w:r>
      <w:r>
        <w:rPr/>
        <w:t>。</w:t>
      </w:r>
    </w:p>
    <w:p>
      <w:pPr>
        <w:pStyle w:val="BodyText"/>
        <w:spacing w:line="223" w:lineRule="auto"/>
        <w:ind w:right="1083" w:hanging="504"/>
      </w:pPr>
      <w:r>
        <w:rPr>
          <w:spacing w:val="-1"/>
        </w:rPr>
        <w:t>(五)有關簡報所需之硬體設備部分，主辦單位僅供投影螢幕，餘所需器材</w:t>
      </w:r>
      <w:r>
        <w:rPr/>
        <w:t>請自行備妥。</w:t>
      </w:r>
    </w:p>
    <w:p>
      <w:pPr>
        <w:pStyle w:val="BodyText"/>
        <w:spacing w:line="307" w:lineRule="exact"/>
        <w:ind w:left="2401"/>
      </w:pPr>
      <w:r>
        <w:rPr/>
        <w:t>(六)廠商簡報及委員詢問事項，應與審查項目有關。</w:t>
      </w:r>
    </w:p>
    <w:p>
      <w:pPr>
        <w:pStyle w:val="BodyText"/>
        <w:spacing w:line="223" w:lineRule="auto" w:before="4"/>
        <w:ind w:right="1082" w:hanging="504"/>
      </w:pPr>
      <w:r>
        <w:rPr>
          <w:spacing w:val="-1"/>
        </w:rPr>
        <w:t>(七)簡報及現場詢答，非屬採行協商措施性質者，不應要求廠商更改投標</w:t>
      </w:r>
      <w:r>
        <w:rPr/>
        <w:t>文件內容，或提供本校優惠回饋。</w:t>
      </w:r>
    </w:p>
    <w:p>
      <w:pPr>
        <w:pStyle w:val="BodyText"/>
        <w:spacing w:line="223" w:lineRule="auto"/>
        <w:ind w:right="1083" w:hanging="504"/>
      </w:pPr>
      <w:r>
        <w:rPr>
          <w:spacing w:val="-1"/>
        </w:rPr>
        <w:t>(八)各廠商簡報時其他廠商應退席，廠商簡報及答詢完畢後即應離席，審</w:t>
      </w:r>
      <w:r>
        <w:rPr/>
        <w:t>查委員會討論及決議時所有廠商一律退席。</w:t>
      </w:r>
    </w:p>
    <w:p>
      <w:pPr>
        <w:pStyle w:val="BodyText"/>
        <w:spacing w:line="307" w:lineRule="exact"/>
        <w:ind w:left="1878"/>
      </w:pPr>
      <w:r>
        <w:rPr/>
        <w:t>五、審查會議：</w:t>
      </w:r>
    </w:p>
    <w:p>
      <w:pPr>
        <w:pStyle w:val="BodyText"/>
        <w:spacing w:line="313" w:lineRule="exact"/>
        <w:ind w:left="2401"/>
      </w:pPr>
      <w:r>
        <w:rPr/>
        <w:t>(一)審查委員會出席及決議之人員比例：</w:t>
      </w:r>
    </w:p>
    <w:p>
      <w:pPr>
        <w:pStyle w:val="BodyText"/>
        <w:spacing w:line="223" w:lineRule="auto" w:before="6"/>
        <w:ind w:right="1299"/>
        <w:jc w:val="both"/>
      </w:pPr>
      <w:r>
        <w:rPr>
          <w:spacing w:val="-1"/>
        </w:rPr>
        <w:t>本委員會會議，應有委員總額二分之一以上出席，其決議應經出席委員過半數之同意行之。出席委員中之專家、學者人數應至少二人</w:t>
      </w:r>
      <w:r>
        <w:rPr/>
        <w:t>且不得少於出席人數之三分之一。</w:t>
      </w:r>
    </w:p>
    <w:p>
      <w:pPr>
        <w:pStyle w:val="BodyText"/>
        <w:spacing w:line="223" w:lineRule="auto"/>
        <w:ind w:right="1298"/>
      </w:pPr>
      <w:r>
        <w:rPr>
          <w:spacing w:val="-1"/>
        </w:rPr>
        <w:t>以上審查委員會出席人數符合規定，但召集人及副召集人如均無法</w:t>
      </w:r>
      <w:r>
        <w:rPr/>
        <w:t>出席會議者，應另訂時間辦理審查會議。</w:t>
      </w:r>
    </w:p>
    <w:p>
      <w:pPr>
        <w:pStyle w:val="BodyText"/>
        <w:spacing w:line="307" w:lineRule="exact"/>
        <w:ind w:left="2401"/>
      </w:pPr>
      <w:r>
        <w:rPr/>
        <w:t>(二)審查保密規定：</w:t>
      </w:r>
    </w:p>
    <w:p>
      <w:pPr>
        <w:pStyle w:val="ListParagraph"/>
        <w:numPr>
          <w:ilvl w:val="0"/>
          <w:numId w:val="11"/>
        </w:numPr>
        <w:tabs>
          <w:tab w:pos="3079" w:val="left" w:leader="none"/>
        </w:tabs>
        <w:spacing w:line="223" w:lineRule="auto" w:before="5" w:after="0"/>
        <w:ind w:left="3018" w:right="1126" w:hanging="180"/>
        <w:jc w:val="left"/>
        <w:rPr>
          <w:sz w:val="22"/>
        </w:rPr>
      </w:pPr>
      <w:r>
        <w:rPr>
          <w:spacing w:val="-1"/>
          <w:sz w:val="24"/>
        </w:rPr>
        <w:t>委員會成立後委員名單是否公開：本案委員名單公開於主管機關指</w:t>
      </w:r>
      <w:r>
        <w:rPr>
          <w:sz w:val="24"/>
        </w:rPr>
        <w:t>定之資訊網站(行政院公共工程委員會電子採購網：首頁/常用查詢</w:t>
      </w:r>
    </w:p>
    <w:p>
      <w:pPr>
        <w:pStyle w:val="BodyText"/>
        <w:spacing w:line="307" w:lineRule="exact"/>
        <w:ind w:left="3018"/>
      </w:pPr>
      <w:r>
        <w:rPr/>
        <w:t>/採購評選委員名單)。</w:t>
      </w:r>
    </w:p>
    <w:p>
      <w:pPr>
        <w:pStyle w:val="ListParagraph"/>
        <w:numPr>
          <w:ilvl w:val="0"/>
          <w:numId w:val="11"/>
        </w:numPr>
        <w:tabs>
          <w:tab w:pos="3019" w:val="left" w:leader="none"/>
        </w:tabs>
        <w:spacing w:line="223" w:lineRule="auto" w:before="5" w:after="0"/>
        <w:ind w:left="3018" w:right="1186" w:hanging="180"/>
        <w:jc w:val="left"/>
        <w:rPr>
          <w:rFonts w:ascii="Times New Roman" w:eastAsia="Times New Roman"/>
          <w:sz w:val="22"/>
        </w:rPr>
      </w:pPr>
      <w:r>
        <w:rPr>
          <w:spacing w:val="-1"/>
          <w:sz w:val="24"/>
        </w:rPr>
        <w:t>本委員會或工作小組辦理審查，於其通知廠商說明、減價、協商、</w:t>
      </w:r>
      <w:r>
        <w:rPr>
          <w:sz w:val="24"/>
        </w:rPr>
        <w:t>修改原報內容或重新報價時，應個別洽廠商為之，並予保密。</w:t>
      </w:r>
    </w:p>
    <w:p>
      <w:pPr>
        <w:pStyle w:val="BodyText"/>
        <w:spacing w:line="225" w:lineRule="auto"/>
        <w:ind w:right="1083" w:hanging="504"/>
      </w:pPr>
      <w:r>
        <w:rPr>
          <w:spacing w:val="-1"/>
        </w:rPr>
        <w:t>(三)本委員會委員應公正辦理審查。審查及出席會議，應親自為之，不得</w:t>
      </w:r>
      <w:r>
        <w:rPr/>
        <w:t>代理。</w:t>
      </w:r>
    </w:p>
    <w:p>
      <w:pPr>
        <w:pStyle w:val="BodyText"/>
        <w:spacing w:line="223" w:lineRule="auto"/>
        <w:ind w:right="1083" w:hanging="504"/>
      </w:pPr>
      <w:r>
        <w:rPr>
          <w:spacing w:val="-1"/>
        </w:rPr>
        <w:t>(四)本委員會辦理廠商審查，就各審查項目、受評廠商資料及工作小組初</w:t>
      </w:r>
      <w:r>
        <w:rPr/>
        <w:t>審意見，逐項討論後為之。</w:t>
      </w:r>
    </w:p>
    <w:p>
      <w:pPr>
        <w:pStyle w:val="BodyText"/>
        <w:spacing w:line="307" w:lineRule="exact"/>
        <w:ind w:left="2401"/>
      </w:pPr>
      <w:r>
        <w:rPr/>
        <w:t>(五)委員會審查、議決等審查作業，以記名方式秘密為之為原則。</w:t>
      </w:r>
    </w:p>
    <w:p>
      <w:pPr>
        <w:pStyle w:val="BodyText"/>
        <w:spacing w:line="223" w:lineRule="auto"/>
        <w:ind w:right="1323" w:hanging="504"/>
      </w:pPr>
      <w:r>
        <w:rPr>
          <w:spacing w:val="-1"/>
        </w:rPr>
        <w:t>(六)委員辦理審查，應依招標文件之審查項目、子項及其配分或權重辦</w:t>
      </w:r>
      <w:r>
        <w:rPr/>
        <w:t>理，不得變更或補充。</w:t>
      </w:r>
    </w:p>
    <w:p>
      <w:pPr>
        <w:pStyle w:val="BodyText"/>
        <w:spacing w:line="223" w:lineRule="auto"/>
        <w:ind w:right="1083" w:hanging="504"/>
      </w:pPr>
      <w:r>
        <w:rPr>
          <w:spacing w:val="-1"/>
        </w:rPr>
        <w:t>(七)會議表決時，主席得命本委員會以外之人員退席。但不包括應全程出</w:t>
      </w:r>
      <w:r>
        <w:rPr/>
        <w:t>席之承辦人員。</w:t>
      </w:r>
    </w:p>
    <w:p>
      <w:pPr>
        <w:pStyle w:val="BodyText"/>
        <w:spacing w:line="223" w:lineRule="auto"/>
        <w:ind w:right="1221" w:hanging="504"/>
      </w:pPr>
      <w:r>
        <w:rPr>
          <w:spacing w:val="-1"/>
        </w:rPr>
        <w:t>(八)審查委員依審查項目於評分表</w:t>
      </w:r>
      <w:r>
        <w:rPr>
          <w:rFonts w:ascii="Times New Roman" w:eastAsia="Times New Roman"/>
        </w:rPr>
        <w:t>(</w:t>
      </w:r>
      <w:r>
        <w:rPr>
          <w:spacing w:val="-15"/>
        </w:rPr>
        <w:t>如附表 </w:t>
      </w:r>
      <w:r>
        <w:rPr>
          <w:rFonts w:ascii="Times New Roman" w:eastAsia="Times New Roman"/>
        </w:rPr>
        <w:t>1)</w:t>
      </w:r>
      <w:r>
        <w:rPr/>
        <w:t>逐項載明各受評廠商之評分後，再加總各受評廠商之總評分，並簽名或蓋章後彌封。</w:t>
      </w:r>
    </w:p>
    <w:p>
      <w:pPr>
        <w:pStyle w:val="BodyText"/>
        <w:spacing w:line="223" w:lineRule="auto"/>
        <w:ind w:right="1082" w:hanging="504"/>
      </w:pPr>
      <w:r>
        <w:rPr>
          <w:spacing w:val="-1"/>
        </w:rPr>
        <w:t>(九)各審查委員完成各受評廠商評分後，由本校工作小組統計各受評廠商</w:t>
      </w:r>
      <w:r>
        <w:rPr/>
        <w:t>總評分，並由本委員會監督複核。</w:t>
      </w:r>
    </w:p>
    <w:p>
      <w:pPr>
        <w:spacing w:after="0" w:line="223" w:lineRule="auto"/>
        <w:sectPr>
          <w:pgSz w:w="11910" w:h="16850"/>
          <w:pgMar w:top="1400" w:bottom="280" w:left="400" w:right="340"/>
        </w:sectPr>
      </w:pPr>
    </w:p>
    <w:p>
      <w:pPr>
        <w:pStyle w:val="BodyText"/>
        <w:spacing w:line="223" w:lineRule="auto" w:before="44"/>
        <w:ind w:right="1083" w:hanging="504"/>
      </w:pPr>
      <w:r>
        <w:rPr>
          <w:spacing w:val="-1"/>
        </w:rPr>
        <w:t>(十)評分總表加總計算各受評廠商之總評分後，出席審查委員評分平均達</w:t>
      </w:r>
      <w:r>
        <w:rPr/>
        <w:t>合格分數【 </w:t>
      </w:r>
      <w:r>
        <w:rPr>
          <w:rFonts w:ascii="Times New Roman" w:eastAsia="Times New Roman"/>
        </w:rPr>
        <w:t>80</w:t>
      </w:r>
      <w:r>
        <w:rPr>
          <w:rFonts w:ascii="Times New Roman" w:eastAsia="Times New Roman"/>
          <w:spacing w:val="1"/>
        </w:rPr>
        <w:t> </w:t>
      </w:r>
      <w:r>
        <w:rPr/>
        <w:t>】分以上，為合於標準之廠商，方得辦理其價格標</w:t>
      </w:r>
    </w:p>
    <w:p>
      <w:pPr>
        <w:pStyle w:val="BodyText"/>
        <w:spacing w:line="223" w:lineRule="auto"/>
        <w:ind w:right="1298"/>
      </w:pPr>
      <w:r>
        <w:rPr>
          <w:spacing w:val="-1"/>
        </w:rPr>
        <w:t>之開標，受審查廠商平均分數未達合格分數【 </w:t>
      </w:r>
      <w:r>
        <w:rPr>
          <w:rFonts w:ascii="Times New Roman" w:eastAsia="Times New Roman"/>
        </w:rPr>
        <w:t>80</w:t>
      </w:r>
      <w:r>
        <w:rPr>
          <w:rFonts w:ascii="Times New Roman" w:eastAsia="Times New Roman"/>
          <w:spacing w:val="52"/>
        </w:rPr>
        <w:t> </w:t>
      </w:r>
      <w:r>
        <w:rPr/>
        <w:t>】分者，不得作</w:t>
      </w:r>
      <w:r>
        <w:rPr>
          <w:spacing w:val="-1"/>
        </w:rPr>
        <w:t>為後續價格標開標之對象。若所有廠商平均總評分均未達合格分數</w:t>
      </w:r>
    </w:p>
    <w:p>
      <w:pPr>
        <w:pStyle w:val="BodyText"/>
        <w:spacing w:line="223" w:lineRule="auto"/>
        <w:ind w:right="1298"/>
      </w:pPr>
      <w:r>
        <w:rPr>
          <w:spacing w:val="-4"/>
        </w:rPr>
        <w:t>【 </w:t>
      </w:r>
      <w:r>
        <w:rPr>
          <w:rFonts w:ascii="Times New Roman" w:eastAsia="Times New Roman"/>
        </w:rPr>
        <w:t>80</w:t>
      </w:r>
      <w:r>
        <w:rPr>
          <w:rFonts w:ascii="Times New Roman" w:eastAsia="Times New Roman"/>
          <w:spacing w:val="52"/>
        </w:rPr>
        <w:t> </w:t>
      </w:r>
      <w:r>
        <w:rPr/>
        <w:t>】分時，則合於標準之廠商從缺並廢標。（平均分數計算至小數點以下二位數，小數以下第三位四捨五入）</w:t>
      </w:r>
    </w:p>
    <w:p>
      <w:pPr>
        <w:pStyle w:val="BodyText"/>
        <w:spacing w:line="308" w:lineRule="exact"/>
        <w:ind w:left="1878"/>
      </w:pPr>
      <w:r>
        <w:rPr/>
        <w:t>六、審查結果：</w:t>
      </w:r>
    </w:p>
    <w:p>
      <w:pPr>
        <w:pStyle w:val="BodyText"/>
        <w:spacing w:line="223" w:lineRule="auto" w:before="6"/>
        <w:ind w:right="1083" w:hanging="504"/>
      </w:pPr>
      <w:r>
        <w:rPr>
          <w:spacing w:val="-1"/>
        </w:rPr>
        <w:t>(一)工作小組於委員審查後，將審查結果彙整製作評分總表，由參與審查</w:t>
      </w:r>
      <w:r>
        <w:rPr/>
        <w:t>全體委員簽名或蓋章。其内容有修正者，應經修正人員簽名或蓋</w:t>
      </w:r>
    </w:p>
    <w:p>
      <w:pPr>
        <w:pStyle w:val="BodyText"/>
        <w:spacing w:line="307" w:lineRule="exact"/>
      </w:pPr>
      <w:r>
        <w:rPr/>
        <w:t>章。</w:t>
      </w:r>
    </w:p>
    <w:p>
      <w:pPr>
        <w:pStyle w:val="BodyText"/>
        <w:spacing w:line="223" w:lineRule="auto" w:before="5"/>
        <w:ind w:right="1083" w:hanging="504"/>
      </w:pPr>
      <w:r>
        <w:rPr>
          <w:spacing w:val="-1"/>
        </w:rPr>
        <w:t>(二)各受審查廠商之評分結果，其所標示之各出席委員姓名，得以代號代</w:t>
      </w:r>
      <w:r>
        <w:rPr/>
        <w:t>之。</w:t>
      </w:r>
    </w:p>
    <w:p>
      <w:pPr>
        <w:pStyle w:val="BodyText"/>
        <w:spacing w:line="223" w:lineRule="auto"/>
        <w:ind w:right="1083" w:hanging="504"/>
      </w:pPr>
      <w:r>
        <w:rPr>
          <w:spacing w:val="-1"/>
        </w:rPr>
        <w:t>(三)本委員會或個別委員審查結果與工作小組初審意見有異，或不同審查</w:t>
      </w:r>
      <w:r>
        <w:rPr/>
        <w:t>委員之審查結果有明顯差異者，應提交本委員會召集人處理，並列入會議紀錄。</w:t>
      </w:r>
    </w:p>
    <w:p>
      <w:pPr>
        <w:pStyle w:val="BodyText"/>
        <w:spacing w:line="223" w:lineRule="auto"/>
        <w:ind w:right="1082" w:hanging="504"/>
      </w:pPr>
      <w:r>
        <w:rPr>
          <w:spacing w:val="-1"/>
        </w:rPr>
        <w:t>(四)不同委員之審查結果有明顯差異時，召集人應提交本委員會議決或依</w:t>
      </w:r>
      <w:r>
        <w:rPr/>
        <w:t>本委員會決議辦理複評。複評結果仍有明顯差異時，由本委員會決議之。本委員會依上開規定，得作成下列議決或決議：</w:t>
      </w:r>
    </w:p>
    <w:p>
      <w:pPr>
        <w:pStyle w:val="ListParagraph"/>
        <w:numPr>
          <w:ilvl w:val="0"/>
          <w:numId w:val="12"/>
        </w:numPr>
        <w:tabs>
          <w:tab w:pos="3155" w:val="left" w:leader="none"/>
        </w:tabs>
        <w:spacing w:line="307" w:lineRule="exact" w:before="0" w:after="0"/>
        <w:ind w:left="3154" w:right="0" w:hanging="250"/>
        <w:jc w:val="left"/>
        <w:rPr>
          <w:sz w:val="24"/>
        </w:rPr>
      </w:pPr>
      <w:r>
        <w:rPr>
          <w:sz w:val="24"/>
        </w:rPr>
        <w:t>維持原審查結果。</w:t>
      </w:r>
    </w:p>
    <w:p>
      <w:pPr>
        <w:pStyle w:val="ListParagraph"/>
        <w:numPr>
          <w:ilvl w:val="0"/>
          <w:numId w:val="12"/>
        </w:numPr>
        <w:tabs>
          <w:tab w:pos="3155" w:val="left" w:leader="none"/>
        </w:tabs>
        <w:spacing w:line="313" w:lineRule="exact" w:before="0" w:after="0"/>
        <w:ind w:left="3154" w:right="0" w:hanging="250"/>
        <w:jc w:val="left"/>
        <w:rPr>
          <w:sz w:val="24"/>
        </w:rPr>
      </w:pPr>
      <w:r>
        <w:rPr>
          <w:sz w:val="24"/>
        </w:rPr>
        <w:t>除去個別委員審查結果，重計審查結果。</w:t>
      </w:r>
    </w:p>
    <w:p>
      <w:pPr>
        <w:pStyle w:val="ListParagraph"/>
        <w:numPr>
          <w:ilvl w:val="0"/>
          <w:numId w:val="12"/>
        </w:numPr>
        <w:tabs>
          <w:tab w:pos="3155" w:val="left" w:leader="none"/>
        </w:tabs>
        <w:spacing w:line="313" w:lineRule="exact" w:before="0" w:after="0"/>
        <w:ind w:left="3154" w:right="0" w:hanging="250"/>
        <w:jc w:val="left"/>
        <w:rPr>
          <w:sz w:val="24"/>
        </w:rPr>
      </w:pPr>
      <w:r>
        <w:rPr>
          <w:sz w:val="24"/>
        </w:rPr>
        <w:t>廢棄原審查結果，重行提出審查結果。</w:t>
      </w:r>
    </w:p>
    <w:p>
      <w:pPr>
        <w:pStyle w:val="ListParagraph"/>
        <w:numPr>
          <w:ilvl w:val="0"/>
          <w:numId w:val="12"/>
        </w:numPr>
        <w:tabs>
          <w:tab w:pos="3155" w:val="left" w:leader="none"/>
        </w:tabs>
        <w:spacing w:line="312" w:lineRule="exact" w:before="0" w:after="0"/>
        <w:ind w:left="3154" w:right="0" w:hanging="250"/>
        <w:jc w:val="left"/>
        <w:rPr>
          <w:sz w:val="24"/>
        </w:rPr>
      </w:pPr>
      <w:r>
        <w:rPr>
          <w:sz w:val="24"/>
        </w:rPr>
        <w:t>無法評定合於標準之廠商。</w:t>
      </w:r>
    </w:p>
    <w:p>
      <w:pPr>
        <w:pStyle w:val="BodyText"/>
        <w:spacing w:line="223" w:lineRule="auto" w:before="5"/>
        <w:ind w:right="1083" w:hanging="504"/>
      </w:pPr>
      <w:r>
        <w:rPr>
          <w:spacing w:val="-1"/>
        </w:rPr>
        <w:t>(五)審查委員對於會議之決議有不同意見者，得要求將不同意見載入會議</w:t>
      </w:r>
      <w:r>
        <w:rPr/>
        <w:t>紀錄或將意見書附於會議紀錄，以備查考，本委員會不得拒絕。</w:t>
      </w:r>
    </w:p>
    <w:p>
      <w:pPr>
        <w:pStyle w:val="BodyText"/>
        <w:spacing w:line="223" w:lineRule="auto"/>
        <w:ind w:right="1161" w:hanging="504"/>
        <w:rPr>
          <w:rFonts w:ascii="Times New Roman" w:eastAsia="Times New Roman"/>
        </w:rPr>
      </w:pPr>
      <w:r>
        <w:rPr/>
        <w:t>(六)本校對於本委員會違反本</w:t>
      </w:r>
      <w:r>
        <w:rPr>
          <w:rFonts w:ascii="Times New Roman" w:eastAsia="Times New Roman"/>
        </w:rPr>
        <w:t>(</w:t>
      </w:r>
      <w:r>
        <w:rPr/>
        <w:t>政府採購</w:t>
      </w:r>
      <w:r>
        <w:rPr>
          <w:rFonts w:ascii="Times New Roman" w:eastAsia="Times New Roman"/>
        </w:rPr>
        <w:t>)</w:t>
      </w:r>
      <w:r>
        <w:rPr/>
        <w:t>法之決議，不得接受；發現審查</w:t>
      </w:r>
      <w:r>
        <w:rPr>
          <w:spacing w:val="-3"/>
        </w:rPr>
        <w:t>作業有足以影響採購公正之違法或不當行為者，依本法第 </w:t>
      </w:r>
      <w:r>
        <w:rPr>
          <w:rFonts w:ascii="Times New Roman" w:eastAsia="Times New Roman"/>
        </w:rPr>
        <w:t>48 </w:t>
      </w:r>
      <w:r>
        <w:rPr>
          <w:spacing w:val="-20"/>
        </w:rPr>
        <w:t>條第 </w:t>
      </w:r>
      <w:r>
        <w:rPr>
          <w:rFonts w:ascii="Times New Roman" w:eastAsia="Times New Roman"/>
        </w:rPr>
        <w:t>1</w:t>
      </w:r>
    </w:p>
    <w:p>
      <w:pPr>
        <w:pStyle w:val="BodyText"/>
        <w:spacing w:line="223" w:lineRule="auto"/>
        <w:ind w:right="1298"/>
      </w:pPr>
      <w:r>
        <w:rPr>
          <w:spacing w:val="-21"/>
        </w:rPr>
        <w:t>項第 </w:t>
      </w:r>
      <w:r>
        <w:rPr>
          <w:rFonts w:ascii="Times New Roman" w:eastAsia="Times New Roman"/>
          <w:spacing w:val="-1"/>
        </w:rPr>
        <w:t>2</w:t>
      </w:r>
      <w:r>
        <w:rPr>
          <w:rFonts w:ascii="Times New Roman" w:eastAsia="Times New Roman"/>
        </w:rPr>
        <w:t> </w:t>
      </w:r>
      <w:r>
        <w:rPr>
          <w:spacing w:val="-1"/>
        </w:rPr>
        <w:t>款規定不予開標決標。其涉及違法失職行為者，應依相關規</w:t>
      </w:r>
      <w:r>
        <w:rPr/>
        <w:t>定懲處。</w:t>
      </w:r>
    </w:p>
    <w:p>
      <w:pPr>
        <w:pStyle w:val="BodyText"/>
        <w:spacing w:line="307" w:lineRule="exact"/>
        <w:ind w:left="2401"/>
      </w:pPr>
      <w:r>
        <w:rPr/>
        <w:t>(七)審查結果應簽報本校校長或其授權人員核定。</w:t>
      </w:r>
    </w:p>
    <w:p>
      <w:pPr>
        <w:pStyle w:val="BodyText"/>
        <w:ind w:left="1398" w:right="1082" w:firstLine="1003"/>
      </w:pPr>
      <w:r>
        <w:rPr>
          <w:spacing w:val="-1"/>
        </w:rPr>
        <w:t>(八)將審查結果通知廠商，對不合格或未獲選之廠商，並應敘明其原因。</w:t>
      </w:r>
      <w:r>
        <w:rPr/>
        <w:t>第肆節、決標原則與作業</w:t>
      </w:r>
    </w:p>
    <w:p>
      <w:pPr>
        <w:pStyle w:val="BodyText"/>
        <w:spacing w:line="223" w:lineRule="auto" w:before="5"/>
        <w:ind w:left="2358" w:right="1072" w:hanging="480"/>
      </w:pPr>
      <w:r>
        <w:rPr>
          <w:spacing w:val="-5"/>
        </w:rPr>
        <w:t>一、決標原則依政府採購法第 </w:t>
      </w:r>
      <w:r>
        <w:rPr>
          <w:rFonts w:ascii="Times New Roman" w:eastAsia="Times New Roman"/>
          <w:spacing w:val="-1"/>
        </w:rPr>
        <w:t>52</w:t>
      </w:r>
      <w:r>
        <w:rPr>
          <w:rFonts w:ascii="Times New Roman" w:eastAsia="Times New Roman"/>
          <w:spacing w:val="9"/>
        </w:rPr>
        <w:t> </w:t>
      </w:r>
      <w:r>
        <w:rPr>
          <w:spacing w:val="-18"/>
        </w:rPr>
        <w:t>條第 </w:t>
      </w:r>
      <w:r>
        <w:rPr>
          <w:rFonts w:ascii="Times New Roman" w:eastAsia="Times New Roman"/>
        </w:rPr>
        <w:t>1</w:t>
      </w:r>
      <w:r>
        <w:rPr>
          <w:rFonts w:ascii="Times New Roman" w:eastAsia="Times New Roman"/>
          <w:spacing w:val="9"/>
        </w:rPr>
        <w:t> </w:t>
      </w:r>
      <w:r>
        <w:rPr/>
        <w:t>項第【</w:t>
      </w:r>
      <w:r>
        <w:rPr>
          <w:rFonts w:ascii="Times New Roman" w:eastAsia="Times New Roman"/>
        </w:rPr>
        <w:t>1</w:t>
      </w:r>
      <w:r>
        <w:rPr>
          <w:rFonts w:ascii="Times New Roman" w:eastAsia="Times New Roman"/>
          <w:spacing w:val="7"/>
        </w:rPr>
        <w:t> </w:t>
      </w:r>
      <w:r>
        <w:rPr>
          <w:spacing w:val="-26"/>
        </w:rPr>
        <w:t>或 </w:t>
      </w:r>
      <w:r>
        <w:rPr>
          <w:rFonts w:ascii="Times New Roman" w:eastAsia="Times New Roman"/>
        </w:rPr>
        <w:t>2</w:t>
      </w:r>
      <w:r>
        <w:rPr/>
        <w:t>】款規定，採評分及格最低標決標，以審查結果合於標準之廠商，辦理其價格標之開標。</w:t>
      </w:r>
    </w:p>
    <w:p>
      <w:pPr>
        <w:pStyle w:val="BodyText"/>
        <w:spacing w:line="309" w:lineRule="exact"/>
        <w:ind w:left="1878"/>
      </w:pPr>
      <w:r>
        <w:rPr>
          <w:w w:val="95"/>
        </w:rPr>
        <w:t>二、經審查委員依第參節程序完成審查作業後，本校依第</w:t>
      </w:r>
      <w:r>
        <w:rPr>
          <w:spacing w:val="166"/>
        </w:rPr>
        <w:t> </w:t>
      </w:r>
      <w:r>
        <w:rPr>
          <w:rFonts w:ascii="Times New Roman" w:eastAsia="Times New Roman"/>
          <w:w w:val="95"/>
        </w:rPr>
        <w:t>9</w:t>
      </w:r>
      <w:r>
        <w:rPr>
          <w:rFonts w:ascii="Times New Roman" w:eastAsia="Times New Roman"/>
          <w:spacing w:val="83"/>
        </w:rPr>
        <w:t>  </w:t>
      </w:r>
      <w:r>
        <w:rPr>
          <w:w w:val="95"/>
        </w:rPr>
        <w:t>點規定，召集監辦</w:t>
      </w:r>
    </w:p>
    <w:p>
      <w:pPr>
        <w:pStyle w:val="BodyText"/>
        <w:spacing w:line="223" w:lineRule="auto" w:before="5"/>
        <w:ind w:left="2358" w:right="1072"/>
        <w:jc w:val="both"/>
      </w:pPr>
      <w:r>
        <w:rPr>
          <w:spacing w:val="-3"/>
        </w:rPr>
        <w:t>及相關單位人員辦理價格標開標作業，廠商價格處理程序詳投標須知第 </w:t>
      </w:r>
      <w:r>
        <w:rPr>
          <w:rFonts w:ascii="Times New Roman" w:eastAsia="Times New Roman"/>
        </w:rPr>
        <w:t>61</w:t>
      </w:r>
      <w:r>
        <w:rPr>
          <w:rFonts w:ascii="Times New Roman" w:eastAsia="Times New Roman"/>
          <w:spacing w:val="-58"/>
        </w:rPr>
        <w:t> </w:t>
      </w:r>
      <w:r>
        <w:rPr/>
        <w:t>點規定，在底價以內者為得標廠商，並製作決標紀錄；辦理結果無決標對象者</w:t>
      </w:r>
      <w:r>
        <w:rPr>
          <w:rFonts w:ascii="Times New Roman" w:eastAsia="Times New Roman"/>
        </w:rPr>
        <w:t>(</w:t>
      </w:r>
      <w:r>
        <w:rPr/>
        <w:t>或無合格廠商</w:t>
      </w:r>
      <w:r>
        <w:rPr>
          <w:rFonts w:ascii="Times New Roman" w:eastAsia="Times New Roman"/>
        </w:rPr>
        <w:t>)</w:t>
      </w:r>
      <w:r>
        <w:rPr/>
        <w:t>，本校則宣布廢標，製作廢標紀錄。</w:t>
      </w:r>
    </w:p>
    <w:p>
      <w:pPr>
        <w:pStyle w:val="BodyText"/>
        <w:spacing w:before="8"/>
        <w:ind w:left="1398"/>
      </w:pPr>
      <w:r>
        <w:rPr>
          <w:spacing w:val="-1"/>
        </w:rPr>
        <w:t>第伍節、其他注意事項</w:t>
      </w:r>
    </w:p>
    <w:p>
      <w:pPr>
        <w:pStyle w:val="BodyText"/>
        <w:spacing w:line="324" w:lineRule="exact"/>
        <w:ind w:left="1878"/>
      </w:pPr>
      <w:r>
        <w:rPr/>
        <w:t>一、本審查須知及得標廠商之服務建議書均為契約之一部分。</w:t>
      </w:r>
    </w:p>
    <w:p>
      <w:pPr>
        <w:pStyle w:val="BodyText"/>
        <w:spacing w:line="223" w:lineRule="auto" w:before="5"/>
        <w:ind w:left="2358" w:right="1069" w:hanging="480"/>
        <w:jc w:val="both"/>
      </w:pPr>
      <w:r>
        <w:rPr/>
        <w:t>二、投標廠商之服務建議書及相關投標文件涉及著作權部分為廠商所有，得標廠商之服務建議書及相關投標文件，本校擁有使用權及修改權；未得標廠</w:t>
      </w:r>
      <w:r>
        <w:rPr>
          <w:spacing w:val="-15"/>
        </w:rPr>
        <w:t>商之投標文件，廠商要求發還者，本校得保留其中一份，其餘發還，或僅保</w:t>
      </w:r>
      <w:r>
        <w:rPr/>
        <w:t>留影本。涉及未得標廠商投標文件著作財產權，本校如欲使用該等文件，</w:t>
      </w:r>
      <w:r>
        <w:rPr>
          <w:spacing w:val="-118"/>
        </w:rPr>
        <w:t> </w:t>
      </w:r>
      <w:r>
        <w:rPr/>
        <w:t>應經該廠商同意無償授權本校使用，或由本校給予報酬後，於彼此約定範</w:t>
      </w:r>
    </w:p>
    <w:p>
      <w:pPr>
        <w:spacing w:after="0" w:line="223" w:lineRule="auto"/>
        <w:jc w:val="both"/>
        <w:sectPr>
          <w:pgSz w:w="11910" w:h="16850"/>
          <w:pgMar w:top="1400" w:bottom="280" w:left="400" w:right="340"/>
        </w:sectPr>
      </w:pPr>
    </w:p>
    <w:p>
      <w:pPr>
        <w:pStyle w:val="BodyText"/>
        <w:spacing w:line="324" w:lineRule="exact" w:before="27"/>
        <w:ind w:left="2358"/>
      </w:pPr>
      <w:r>
        <w:rPr/>
        <w:t>圍內使用。</w:t>
      </w:r>
    </w:p>
    <w:p>
      <w:pPr>
        <w:pStyle w:val="BodyText"/>
        <w:spacing w:line="223" w:lineRule="auto" w:before="5"/>
        <w:ind w:left="2358" w:right="1078" w:hanging="480"/>
        <w:jc w:val="both"/>
      </w:pPr>
      <w:r>
        <w:rPr/>
        <w:t>三、投標廠商應保證投標文件內之所有文件、設計、技術等均未違法使用第三者之智慧財產權與專利權。若有侵害第三者之智慧財產權與專利權時，投標廠商應負擔所有之賠償費用及一切法律責任，與本校無涉。</w:t>
      </w:r>
    </w:p>
    <w:p>
      <w:pPr>
        <w:pStyle w:val="BodyText"/>
        <w:spacing w:line="223" w:lineRule="auto"/>
        <w:ind w:left="2358" w:right="1072" w:hanging="480"/>
      </w:pPr>
      <w:r>
        <w:rPr/>
        <w:t>四、任何侵犯他人智慧財產權之情事概由投標廠商負一切法律責任，與本校無涉。</w:t>
      </w:r>
    </w:p>
    <w:p>
      <w:pPr>
        <w:pStyle w:val="BodyText"/>
        <w:spacing w:line="223" w:lineRule="auto"/>
        <w:ind w:left="2358" w:right="1078" w:hanging="480"/>
        <w:jc w:val="both"/>
      </w:pPr>
      <w:r>
        <w:rPr/>
        <w:t>五、投標廠商對所列參與本案之專任負責人及其重要工作人員之學經歷及專長或專業機構或事務所之工作實績與資料說明，應保證屬實，若於審查過程中經舉證與事實不符，且由本委員會認定後，取消參與審查之資格；若於</w:t>
      </w:r>
      <w:r>
        <w:rPr>
          <w:spacing w:val="-3"/>
        </w:rPr>
        <w:t>簽定契約後，經舉證與事實不符，則依政府採購法第 </w:t>
      </w:r>
      <w:r>
        <w:rPr>
          <w:rFonts w:ascii="Times New Roman" w:eastAsia="Times New Roman"/>
        </w:rPr>
        <w:t>50 </w:t>
      </w:r>
      <w:r>
        <w:rPr/>
        <w:t>條規定辦理。</w:t>
      </w:r>
    </w:p>
    <w:p>
      <w:pPr>
        <w:pStyle w:val="BodyText"/>
        <w:spacing w:line="223" w:lineRule="auto" w:before="2"/>
        <w:ind w:left="2358" w:right="1078" w:hanging="480"/>
      </w:pPr>
      <w:r>
        <w:rPr/>
        <w:t>六、本須知未盡事宜部分，應依招標文件及政府採購法及其子法、其他相關法令規定辦理。</w:t>
      </w:r>
    </w:p>
    <w:p>
      <w:pPr>
        <w:spacing w:after="0" w:line="223" w:lineRule="auto"/>
        <w:sectPr>
          <w:pgSz w:w="11910" w:h="16850"/>
          <w:pgMar w:top="1400" w:bottom="280" w:left="400" w:right="340"/>
        </w:sectPr>
      </w:pPr>
    </w:p>
    <w:p>
      <w:pPr>
        <w:pStyle w:val="Heading1"/>
        <w:spacing w:before="23"/>
        <w:ind w:right="1058"/>
        <w:rPr>
          <w:sz w:val="26"/>
        </w:rPr>
      </w:pPr>
      <w:r>
        <w:rPr>
          <w:sz w:val="26"/>
        </w:rPr>
        <w:t>「</w:t>
      </w:r>
      <w:r>
        <w:rPr/>
        <w:t>國際獸醫防疫人才培訓中心暨獸醫教學醫院大樓新建工程</w:t>
      </w:r>
      <w:r>
        <w:rPr>
          <w:sz w:val="26"/>
        </w:rPr>
        <w:t>」</w:t>
      </w:r>
    </w:p>
    <w:p>
      <w:pPr>
        <w:pStyle w:val="BodyText"/>
        <w:spacing w:before="4"/>
        <w:ind w:left="0"/>
        <w:rPr>
          <w:sz w:val="8"/>
        </w:rPr>
      </w:pPr>
    </w:p>
    <w:p>
      <w:pPr>
        <w:pStyle w:val="Heading2"/>
      </w:pPr>
      <w:r>
        <w:rPr>
          <w:w w:val="95"/>
        </w:rPr>
        <w:t>投標廠商審查作業自我檢核審查表（表一）</w:t>
      </w:r>
    </w:p>
    <w:p>
      <w:pPr>
        <w:pStyle w:val="BodyText"/>
        <w:spacing w:before="9"/>
        <w:ind w:left="1381" w:right="8549"/>
        <w:jc w:val="center"/>
      </w:pPr>
      <w:r>
        <w:rPr/>
        <w:t>廠商名稱：</w:t>
      </w:r>
    </w:p>
    <w:p>
      <w:pPr>
        <w:pStyle w:val="BodyText"/>
        <w:spacing w:before="11"/>
        <w:ind w:left="0"/>
        <w:rPr>
          <w:sz w:val="23"/>
        </w:rPr>
      </w:pPr>
    </w:p>
    <w:p>
      <w:pPr>
        <w:pStyle w:val="BodyText"/>
        <w:spacing w:before="52" w:after="13"/>
        <w:ind w:left="1398"/>
      </w:pPr>
      <w:r>
        <w:rPr/>
        <w:t>應附文件自我檢核審查表</w:t>
      </w:r>
    </w:p>
    <w:tbl>
      <w:tblPr>
        <w:tblW w:w="0" w:type="auto"/>
        <w:jc w:val="left"/>
        <w:tblInd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4292"/>
        <w:gridCol w:w="4292"/>
      </w:tblGrid>
      <w:tr>
        <w:trPr>
          <w:trHeight w:val="719" w:hRule="atLeast"/>
        </w:trPr>
        <w:tc>
          <w:tcPr>
            <w:tcW w:w="456" w:type="dxa"/>
          </w:tcPr>
          <w:p>
            <w:pPr>
              <w:pStyle w:val="TableParagraph"/>
              <w:spacing w:before="11"/>
              <w:ind w:left="107"/>
              <w:rPr>
                <w:sz w:val="24"/>
              </w:rPr>
            </w:pPr>
            <w:r>
              <w:rPr>
                <w:sz w:val="24"/>
              </w:rPr>
              <w:t>項</w:t>
            </w:r>
          </w:p>
          <w:p>
            <w:pPr>
              <w:pStyle w:val="TableParagraph"/>
              <w:spacing w:line="328" w:lineRule="exact" w:before="25"/>
              <w:ind w:left="107"/>
              <w:rPr>
                <w:sz w:val="24"/>
              </w:rPr>
            </w:pPr>
            <w:r>
              <w:rPr>
                <w:sz w:val="24"/>
              </w:rPr>
              <w:t>目</w:t>
            </w:r>
          </w:p>
        </w:tc>
        <w:tc>
          <w:tcPr>
            <w:tcW w:w="4292" w:type="dxa"/>
            <w:tcBorders>
              <w:right w:val="single" w:sz="6" w:space="0" w:color="000000"/>
            </w:tcBorders>
          </w:tcPr>
          <w:p>
            <w:pPr>
              <w:pStyle w:val="TableParagraph"/>
              <w:spacing w:before="11"/>
              <w:ind w:left="107"/>
              <w:rPr>
                <w:rFonts w:ascii="新細明體" w:eastAsia="新細明體" w:hint="eastAsia"/>
                <w:sz w:val="24"/>
              </w:rPr>
            </w:pPr>
            <w:r>
              <w:rPr>
                <w:sz w:val="24"/>
              </w:rPr>
              <w:t>服務建議書【11】份</w:t>
            </w:r>
            <w:r>
              <w:rPr>
                <w:rFonts w:ascii="新細明體" w:eastAsia="新細明體" w:hint="eastAsia"/>
                <w:sz w:val="24"/>
              </w:rPr>
              <w:t>。</w:t>
            </w:r>
          </w:p>
        </w:tc>
        <w:tc>
          <w:tcPr>
            <w:tcW w:w="4292" w:type="dxa"/>
            <w:tcBorders>
              <w:left w:val="single" w:sz="6" w:space="0" w:color="000000"/>
            </w:tcBorders>
          </w:tcPr>
          <w:p>
            <w:pPr>
              <w:pStyle w:val="TableParagraph"/>
              <w:spacing w:before="11"/>
              <w:ind w:left="105"/>
              <w:rPr>
                <w:sz w:val="24"/>
              </w:rPr>
            </w:pPr>
            <w:r>
              <w:rPr>
                <w:sz w:val="24"/>
              </w:rPr>
              <w:t>光碟【1】份，內含服務建議書電子</w:t>
            </w:r>
          </w:p>
          <w:p>
            <w:pPr>
              <w:pStyle w:val="TableParagraph"/>
              <w:spacing w:line="328" w:lineRule="exact" w:before="25"/>
              <w:ind w:left="105"/>
              <w:rPr>
                <w:sz w:val="24"/>
              </w:rPr>
            </w:pPr>
            <w:r>
              <w:rPr>
                <w:sz w:val="24"/>
              </w:rPr>
              <w:t>檔。</w:t>
            </w:r>
          </w:p>
        </w:tc>
      </w:tr>
      <w:tr>
        <w:trPr>
          <w:trHeight w:val="878" w:hRule="atLeast"/>
        </w:trPr>
        <w:tc>
          <w:tcPr>
            <w:tcW w:w="456" w:type="dxa"/>
            <w:tcBorders>
              <w:bottom w:val="single" w:sz="6" w:space="0" w:color="000000"/>
            </w:tcBorders>
          </w:tcPr>
          <w:p>
            <w:pPr>
              <w:pStyle w:val="TableParagraph"/>
              <w:spacing w:before="7"/>
              <w:rPr>
                <w:sz w:val="19"/>
              </w:rPr>
            </w:pPr>
          </w:p>
          <w:p>
            <w:pPr>
              <w:pStyle w:val="TableParagraph"/>
              <w:ind w:left="9"/>
              <w:jc w:val="center"/>
              <w:rPr>
                <w:sz w:val="24"/>
              </w:rPr>
            </w:pPr>
            <w:r>
              <w:rPr>
                <w:sz w:val="24"/>
              </w:rPr>
              <w:t>有</w:t>
            </w:r>
          </w:p>
        </w:tc>
        <w:tc>
          <w:tcPr>
            <w:tcW w:w="4292" w:type="dxa"/>
            <w:tcBorders>
              <w:bottom w:val="single" w:sz="6" w:space="0" w:color="000000"/>
              <w:right w:val="single" w:sz="6" w:space="0" w:color="000000"/>
            </w:tcBorders>
          </w:tcPr>
          <w:p>
            <w:pPr>
              <w:pStyle w:val="TableParagraph"/>
              <w:rPr>
                <w:rFonts w:ascii="Times New Roman"/>
                <w:sz w:val="24"/>
              </w:rPr>
            </w:pPr>
          </w:p>
        </w:tc>
        <w:tc>
          <w:tcPr>
            <w:tcW w:w="4292" w:type="dxa"/>
            <w:tcBorders>
              <w:left w:val="single" w:sz="6" w:space="0" w:color="000000"/>
              <w:bottom w:val="single" w:sz="6" w:space="0" w:color="000000"/>
            </w:tcBorders>
          </w:tcPr>
          <w:p>
            <w:pPr>
              <w:pStyle w:val="TableParagraph"/>
              <w:rPr>
                <w:rFonts w:ascii="Times New Roman"/>
                <w:sz w:val="24"/>
              </w:rPr>
            </w:pPr>
          </w:p>
        </w:tc>
      </w:tr>
      <w:tr>
        <w:trPr>
          <w:trHeight w:val="834" w:hRule="atLeast"/>
        </w:trPr>
        <w:tc>
          <w:tcPr>
            <w:tcW w:w="456" w:type="dxa"/>
            <w:tcBorders>
              <w:top w:val="single" w:sz="6" w:space="0" w:color="000000"/>
            </w:tcBorders>
          </w:tcPr>
          <w:p>
            <w:pPr>
              <w:pStyle w:val="TableParagraph"/>
              <w:spacing w:before="9"/>
              <w:rPr>
                <w:sz w:val="17"/>
              </w:rPr>
            </w:pPr>
          </w:p>
          <w:p>
            <w:pPr>
              <w:pStyle w:val="TableParagraph"/>
              <w:ind w:left="9"/>
              <w:jc w:val="center"/>
              <w:rPr>
                <w:sz w:val="24"/>
              </w:rPr>
            </w:pPr>
            <w:r>
              <w:rPr>
                <w:sz w:val="24"/>
              </w:rPr>
              <w:t>無</w:t>
            </w:r>
          </w:p>
        </w:tc>
        <w:tc>
          <w:tcPr>
            <w:tcW w:w="4292" w:type="dxa"/>
            <w:tcBorders>
              <w:top w:val="single" w:sz="6" w:space="0" w:color="000000"/>
              <w:right w:val="single" w:sz="6" w:space="0" w:color="000000"/>
            </w:tcBorders>
          </w:tcPr>
          <w:p>
            <w:pPr>
              <w:pStyle w:val="TableParagraph"/>
              <w:rPr>
                <w:rFonts w:ascii="Times New Roman"/>
                <w:sz w:val="24"/>
              </w:rPr>
            </w:pPr>
          </w:p>
        </w:tc>
        <w:tc>
          <w:tcPr>
            <w:tcW w:w="4292" w:type="dxa"/>
            <w:tcBorders>
              <w:top w:val="single" w:sz="6" w:space="0" w:color="000000"/>
              <w:left w:val="single" w:sz="6" w:space="0" w:color="000000"/>
            </w:tcBorders>
          </w:tcPr>
          <w:p>
            <w:pPr>
              <w:pStyle w:val="TableParagraph"/>
              <w:rPr>
                <w:rFonts w:ascii="Times New Roman"/>
                <w:sz w:val="24"/>
              </w:rPr>
            </w:pPr>
          </w:p>
        </w:tc>
      </w:tr>
      <w:tr>
        <w:trPr>
          <w:trHeight w:val="3681" w:hRule="atLeast"/>
        </w:trPr>
        <w:tc>
          <w:tcPr>
            <w:tcW w:w="456" w:type="dxa"/>
          </w:tcPr>
          <w:p>
            <w:pPr>
              <w:pStyle w:val="TableParagraph"/>
              <w:rPr>
                <w:sz w:val="24"/>
              </w:rPr>
            </w:pPr>
          </w:p>
          <w:p>
            <w:pPr>
              <w:pStyle w:val="TableParagraph"/>
              <w:rPr>
                <w:sz w:val="24"/>
              </w:rPr>
            </w:pPr>
          </w:p>
          <w:p>
            <w:pPr>
              <w:pStyle w:val="TableParagraph"/>
              <w:rPr>
                <w:sz w:val="24"/>
              </w:rPr>
            </w:pPr>
          </w:p>
          <w:p>
            <w:pPr>
              <w:pStyle w:val="TableParagraph"/>
              <w:spacing w:before="10"/>
              <w:rPr>
                <w:sz w:val="34"/>
              </w:rPr>
            </w:pPr>
          </w:p>
          <w:p>
            <w:pPr>
              <w:pStyle w:val="TableParagraph"/>
              <w:spacing w:line="256" w:lineRule="auto"/>
              <w:ind w:left="107" w:right="96"/>
              <w:rPr>
                <w:sz w:val="24"/>
              </w:rPr>
            </w:pPr>
            <w:r>
              <w:rPr>
                <w:sz w:val="24"/>
              </w:rPr>
              <w:t>備註</w:t>
            </w:r>
          </w:p>
        </w:tc>
        <w:tc>
          <w:tcPr>
            <w:tcW w:w="4292" w:type="dxa"/>
            <w:tcBorders>
              <w:right w:val="single" w:sz="6" w:space="0" w:color="000000"/>
            </w:tcBorders>
          </w:tcPr>
          <w:p>
            <w:pPr>
              <w:pStyle w:val="TableParagraph"/>
              <w:rPr>
                <w:rFonts w:ascii="Times New Roman"/>
                <w:sz w:val="24"/>
              </w:rPr>
            </w:pPr>
          </w:p>
        </w:tc>
        <w:tc>
          <w:tcPr>
            <w:tcW w:w="4292" w:type="dxa"/>
            <w:tcBorders>
              <w:left w:val="single" w:sz="6" w:space="0" w:color="000000"/>
            </w:tcBorders>
          </w:tcPr>
          <w:p>
            <w:pPr>
              <w:pStyle w:val="TableParagraph"/>
              <w:rPr>
                <w:rFonts w:ascii="Times New Roman"/>
                <w:sz w:val="24"/>
              </w:rPr>
            </w:pPr>
          </w:p>
        </w:tc>
      </w:tr>
    </w:tbl>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4"/>
        </w:rPr>
      </w:pPr>
    </w:p>
    <w:p>
      <w:pPr>
        <w:tabs>
          <w:tab w:pos="10147" w:val="left" w:leader="none"/>
        </w:tabs>
        <w:spacing w:line="256" w:lineRule="auto" w:before="53"/>
        <w:ind w:left="6849" w:right="1017" w:hanging="240"/>
        <w:jc w:val="left"/>
        <w:rPr>
          <w:rFonts w:ascii="Times New Roman" w:eastAsia="Times New Roman"/>
          <w:b/>
          <w:sz w:val="24"/>
        </w:rPr>
      </w:pPr>
      <w:r>
        <w:rPr>
          <w:b/>
          <w:w w:val="95"/>
          <w:sz w:val="24"/>
        </w:rPr>
        <w:t>投摽廠商：</w:t>
      </w:r>
      <w:r>
        <w:rPr>
          <w:rFonts w:ascii="Times New Roman" w:eastAsia="Times New Roman"/>
          <w:b/>
          <w:w w:val="95"/>
          <w:sz w:val="24"/>
          <w:u w:val="single"/>
        </w:rPr>
        <w:tab/>
      </w:r>
      <w:r>
        <w:rPr>
          <w:b/>
          <w:w w:val="95"/>
          <w:sz w:val="24"/>
          <w:u w:val="single"/>
        </w:rPr>
        <w:t>                   </w:t>
      </w:r>
      <w:r>
        <w:rPr>
          <w:b/>
          <w:w w:val="95"/>
          <w:sz w:val="24"/>
        </w:rPr>
        <w:t>負責人：</w:t>
      </w:r>
      <w:r>
        <w:rPr>
          <w:rFonts w:ascii="Times New Roman" w:eastAsia="Times New Roman"/>
          <w:b/>
          <w:sz w:val="24"/>
          <w:u w:val="single"/>
        </w:rPr>
        <w:t> </w:t>
        <w:tab/>
      </w:r>
    </w:p>
    <w:p>
      <w:pPr>
        <w:spacing w:after="0" w:line="256" w:lineRule="auto"/>
        <w:jc w:val="left"/>
        <w:rPr>
          <w:rFonts w:ascii="Times New Roman" w:eastAsia="Times New Roman"/>
          <w:sz w:val="24"/>
        </w:rPr>
        <w:sectPr>
          <w:pgSz w:w="11910" w:h="16850"/>
          <w:pgMar w:top="1580" w:bottom="280" w:left="400" w:right="340"/>
        </w:sectPr>
      </w:pPr>
    </w:p>
    <w:p>
      <w:pPr>
        <w:pStyle w:val="BodyText"/>
        <w:spacing w:before="8"/>
        <w:ind w:left="0"/>
        <w:rPr>
          <w:rFonts w:ascii="Times New Roman"/>
          <w:b/>
          <w:sz w:val="27"/>
        </w:rPr>
      </w:pPr>
    </w:p>
    <w:p>
      <w:pPr>
        <w:pStyle w:val="Heading1"/>
        <w:spacing w:before="45"/>
        <w:ind w:right="1058"/>
        <w:rPr>
          <w:sz w:val="26"/>
        </w:rPr>
      </w:pPr>
      <w:r>
        <w:rPr>
          <w:sz w:val="26"/>
        </w:rPr>
        <w:t>「</w:t>
      </w:r>
      <w:r>
        <w:rPr/>
        <w:t>國際獸醫防疫人才培訓中心暨獸醫教學醫院大樓新建工程</w:t>
      </w:r>
      <w:r>
        <w:rPr>
          <w:sz w:val="26"/>
        </w:rPr>
        <w:t>」</w:t>
      </w:r>
    </w:p>
    <w:p>
      <w:pPr>
        <w:pStyle w:val="BodyText"/>
        <w:spacing w:before="4"/>
        <w:ind w:left="0"/>
        <w:rPr>
          <w:sz w:val="8"/>
        </w:rPr>
      </w:pPr>
    </w:p>
    <w:p>
      <w:pPr>
        <w:pStyle w:val="Heading2"/>
      </w:pPr>
      <w:r>
        <w:rPr>
          <w:w w:val="95"/>
        </w:rPr>
        <w:t>投標廠商審查作業自我檢核審查表（表二）</w:t>
      </w:r>
    </w:p>
    <w:p>
      <w:pPr>
        <w:pStyle w:val="BodyText"/>
        <w:spacing w:before="9"/>
        <w:ind w:left="1381" w:right="8549"/>
        <w:jc w:val="center"/>
      </w:pPr>
      <w:r>
        <w:rPr/>
        <w:t>廠商名稱：</w:t>
      </w:r>
    </w:p>
    <w:p>
      <w:pPr>
        <w:pStyle w:val="BodyText"/>
        <w:spacing w:before="10"/>
        <w:ind w:left="0"/>
        <w:rPr>
          <w:sz w:val="23"/>
        </w:rPr>
      </w:pPr>
    </w:p>
    <w:p>
      <w:pPr>
        <w:pStyle w:val="BodyText"/>
        <w:spacing w:before="53" w:after="12"/>
        <w:ind w:left="1398"/>
      </w:pPr>
      <w:r>
        <w:rPr>
          <w:spacing w:val="-1"/>
        </w:rPr>
        <w:t>服務建議書內容自我檢核審查表</w:t>
      </w:r>
    </w:p>
    <w:tbl>
      <w:tblPr>
        <w:tblW w:w="0" w:type="auto"/>
        <w:jc w:val="left"/>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1277"/>
        <w:gridCol w:w="1278"/>
        <w:gridCol w:w="1417"/>
        <w:gridCol w:w="1420"/>
        <w:gridCol w:w="1703"/>
        <w:gridCol w:w="1702"/>
      </w:tblGrid>
      <w:tr>
        <w:trPr>
          <w:trHeight w:val="1245" w:hRule="atLeast"/>
        </w:trPr>
        <w:tc>
          <w:tcPr>
            <w:tcW w:w="1135" w:type="dxa"/>
            <w:tcBorders>
              <w:bottom w:val="single" w:sz="6" w:space="0" w:color="000000"/>
            </w:tcBorders>
          </w:tcPr>
          <w:p>
            <w:pPr>
              <w:pStyle w:val="TableParagraph"/>
              <w:spacing w:before="8"/>
              <w:rPr>
                <w:sz w:val="32"/>
              </w:rPr>
            </w:pPr>
          </w:p>
          <w:p>
            <w:pPr>
              <w:pStyle w:val="TableParagraph"/>
              <w:ind w:left="306" w:right="299"/>
              <w:jc w:val="center"/>
              <w:rPr>
                <w:sz w:val="24"/>
              </w:rPr>
            </w:pPr>
            <w:r>
              <w:rPr>
                <w:sz w:val="24"/>
              </w:rPr>
              <w:t>項目</w:t>
            </w:r>
          </w:p>
        </w:tc>
        <w:tc>
          <w:tcPr>
            <w:tcW w:w="1277" w:type="dxa"/>
            <w:tcBorders>
              <w:bottom w:val="single" w:sz="6" w:space="0" w:color="000000"/>
            </w:tcBorders>
          </w:tcPr>
          <w:p>
            <w:pPr>
              <w:pStyle w:val="TableParagraph"/>
              <w:spacing w:line="256" w:lineRule="auto" w:before="96"/>
              <w:ind w:left="158" w:right="146"/>
              <w:jc w:val="center"/>
              <w:rPr>
                <w:sz w:val="24"/>
              </w:rPr>
            </w:pPr>
            <w:r>
              <w:rPr>
                <w:spacing w:val="-1"/>
                <w:sz w:val="24"/>
              </w:rPr>
              <w:t>近五年內履約績效</w:t>
            </w:r>
            <w:r>
              <w:rPr>
                <w:sz w:val="24"/>
              </w:rPr>
              <w:t>情形</w:t>
            </w:r>
          </w:p>
        </w:tc>
        <w:tc>
          <w:tcPr>
            <w:tcW w:w="1278" w:type="dxa"/>
            <w:tcBorders>
              <w:bottom w:val="single" w:sz="6" w:space="0" w:color="000000"/>
            </w:tcBorders>
          </w:tcPr>
          <w:p>
            <w:pPr>
              <w:pStyle w:val="TableParagraph"/>
              <w:spacing w:line="223" w:lineRule="auto" w:before="4"/>
              <w:ind w:left="158" w:right="147"/>
              <w:jc w:val="both"/>
              <w:rPr>
                <w:sz w:val="24"/>
              </w:rPr>
            </w:pPr>
            <w:r>
              <w:rPr>
                <w:spacing w:val="-1"/>
                <w:sz w:val="24"/>
              </w:rPr>
              <w:t>團隊組織及主要工作人員學</w:t>
            </w:r>
          </w:p>
          <w:p>
            <w:pPr>
              <w:pStyle w:val="TableParagraph"/>
              <w:spacing w:line="284" w:lineRule="exact"/>
              <w:ind w:left="398"/>
              <w:rPr>
                <w:sz w:val="24"/>
              </w:rPr>
            </w:pPr>
            <w:r>
              <w:rPr>
                <w:sz w:val="24"/>
              </w:rPr>
              <w:t>經歷</w:t>
            </w:r>
          </w:p>
        </w:tc>
        <w:tc>
          <w:tcPr>
            <w:tcW w:w="1417" w:type="dxa"/>
            <w:tcBorders>
              <w:bottom w:val="single" w:sz="6" w:space="0" w:color="000000"/>
            </w:tcBorders>
          </w:tcPr>
          <w:p>
            <w:pPr>
              <w:pStyle w:val="TableParagraph"/>
              <w:spacing w:line="223" w:lineRule="auto" w:before="4"/>
              <w:ind w:left="107" w:right="97"/>
              <w:jc w:val="both"/>
              <w:rPr>
                <w:sz w:val="24"/>
              </w:rPr>
            </w:pPr>
            <w:r>
              <w:rPr>
                <w:spacing w:val="-1"/>
                <w:sz w:val="24"/>
              </w:rPr>
              <w:t>工程組織管理、施工及品質執行能</w:t>
            </w:r>
          </w:p>
          <w:p>
            <w:pPr>
              <w:pStyle w:val="TableParagraph"/>
              <w:spacing w:line="284" w:lineRule="exact"/>
              <w:ind w:left="7"/>
              <w:jc w:val="center"/>
              <w:rPr>
                <w:sz w:val="24"/>
              </w:rPr>
            </w:pPr>
            <w:r>
              <w:rPr>
                <w:sz w:val="24"/>
              </w:rPr>
              <w:t>力</w:t>
            </w:r>
          </w:p>
        </w:tc>
        <w:tc>
          <w:tcPr>
            <w:tcW w:w="1420" w:type="dxa"/>
            <w:tcBorders>
              <w:bottom w:val="single" w:sz="6" w:space="0" w:color="000000"/>
            </w:tcBorders>
          </w:tcPr>
          <w:p>
            <w:pPr>
              <w:pStyle w:val="TableParagraph"/>
              <w:spacing w:before="8"/>
              <w:rPr>
                <w:sz w:val="22"/>
              </w:rPr>
            </w:pPr>
          </w:p>
          <w:p>
            <w:pPr>
              <w:pStyle w:val="TableParagraph"/>
              <w:spacing w:line="223" w:lineRule="auto" w:before="1"/>
              <w:ind w:left="346" w:right="101" w:hanging="240"/>
              <w:rPr>
                <w:sz w:val="24"/>
              </w:rPr>
            </w:pPr>
            <w:r>
              <w:rPr>
                <w:spacing w:val="-1"/>
                <w:sz w:val="24"/>
              </w:rPr>
              <w:t>職業安全衛</w:t>
            </w:r>
            <w:r>
              <w:rPr>
                <w:sz w:val="24"/>
              </w:rPr>
              <w:t>生管理</w:t>
            </w:r>
          </w:p>
        </w:tc>
        <w:tc>
          <w:tcPr>
            <w:tcW w:w="1703" w:type="dxa"/>
            <w:tcBorders>
              <w:bottom w:val="single" w:sz="6" w:space="0" w:color="000000"/>
            </w:tcBorders>
          </w:tcPr>
          <w:p>
            <w:pPr>
              <w:pStyle w:val="TableParagraph"/>
              <w:spacing w:before="8"/>
              <w:rPr>
                <w:sz w:val="22"/>
              </w:rPr>
            </w:pPr>
          </w:p>
          <w:p>
            <w:pPr>
              <w:pStyle w:val="TableParagraph"/>
              <w:spacing w:line="223" w:lineRule="auto" w:before="1"/>
              <w:ind w:left="244" w:right="126" w:hanging="120"/>
              <w:rPr>
                <w:sz w:val="24"/>
              </w:rPr>
            </w:pPr>
            <w:r>
              <w:rPr>
                <w:spacing w:val="-1"/>
                <w:sz w:val="24"/>
              </w:rPr>
              <w:t>廠商承諾事項</w:t>
            </w:r>
            <w:r>
              <w:rPr>
                <w:sz w:val="24"/>
              </w:rPr>
              <w:t>或回饋措施</w:t>
            </w:r>
          </w:p>
        </w:tc>
        <w:tc>
          <w:tcPr>
            <w:tcW w:w="1702" w:type="dxa"/>
            <w:tcBorders>
              <w:bottom w:val="single" w:sz="6" w:space="0" w:color="000000"/>
            </w:tcBorders>
          </w:tcPr>
          <w:p>
            <w:pPr>
              <w:pStyle w:val="TableParagraph"/>
              <w:spacing w:line="223" w:lineRule="auto" w:before="160"/>
              <w:ind w:left="125" w:right="124"/>
              <w:jc w:val="center"/>
              <w:rPr>
                <w:sz w:val="24"/>
              </w:rPr>
            </w:pPr>
            <w:r>
              <w:rPr>
                <w:spacing w:val="-1"/>
                <w:sz w:val="24"/>
              </w:rPr>
              <w:t>廠商企業社會</w:t>
            </w:r>
            <w:r>
              <w:rPr>
                <w:sz w:val="24"/>
              </w:rPr>
              <w:t>責任</w:t>
            </w:r>
            <w:r>
              <w:rPr>
                <w:rFonts w:ascii="Times New Roman" w:eastAsia="Times New Roman"/>
                <w:sz w:val="24"/>
              </w:rPr>
              <w:t>(CSR)</w:t>
            </w:r>
            <w:r>
              <w:rPr>
                <w:sz w:val="24"/>
              </w:rPr>
              <w:t>指標</w:t>
            </w:r>
          </w:p>
        </w:tc>
      </w:tr>
      <w:tr>
        <w:trPr>
          <w:trHeight w:val="2498" w:hRule="atLeast"/>
        </w:trPr>
        <w:tc>
          <w:tcPr>
            <w:tcW w:w="1135" w:type="dxa"/>
            <w:tcBorders>
              <w:top w:val="single" w:sz="6" w:space="0" w:color="000000"/>
            </w:tcBorders>
          </w:tcPr>
          <w:p>
            <w:pPr>
              <w:pStyle w:val="TableParagraph"/>
              <w:rPr>
                <w:sz w:val="24"/>
              </w:rPr>
            </w:pPr>
          </w:p>
          <w:p>
            <w:pPr>
              <w:pStyle w:val="TableParagraph"/>
              <w:rPr>
                <w:sz w:val="24"/>
              </w:rPr>
            </w:pPr>
          </w:p>
          <w:p>
            <w:pPr>
              <w:pStyle w:val="TableParagraph"/>
              <w:spacing w:before="3"/>
              <w:rPr>
                <w:sz w:val="29"/>
              </w:rPr>
            </w:pPr>
          </w:p>
          <w:p>
            <w:pPr>
              <w:pStyle w:val="TableParagraph"/>
              <w:ind w:left="306" w:right="299"/>
              <w:jc w:val="center"/>
              <w:rPr>
                <w:sz w:val="24"/>
              </w:rPr>
            </w:pPr>
            <w:r>
              <w:rPr>
                <w:sz w:val="24"/>
              </w:rPr>
              <w:t>頁次</w:t>
            </w:r>
          </w:p>
        </w:tc>
        <w:tc>
          <w:tcPr>
            <w:tcW w:w="1277" w:type="dxa"/>
            <w:tcBorders>
              <w:top w:val="single" w:sz="6" w:space="0" w:color="000000"/>
            </w:tcBorders>
          </w:tcPr>
          <w:p>
            <w:pPr>
              <w:pStyle w:val="TableParagraph"/>
              <w:rPr>
                <w:rFonts w:ascii="Times New Roman"/>
                <w:sz w:val="24"/>
              </w:rPr>
            </w:pPr>
          </w:p>
        </w:tc>
        <w:tc>
          <w:tcPr>
            <w:tcW w:w="1278" w:type="dxa"/>
            <w:tcBorders>
              <w:top w:val="single" w:sz="6" w:space="0" w:color="000000"/>
            </w:tcBorders>
          </w:tcPr>
          <w:p>
            <w:pPr>
              <w:pStyle w:val="TableParagraph"/>
              <w:rPr>
                <w:rFonts w:ascii="Times New Roman"/>
                <w:sz w:val="24"/>
              </w:rPr>
            </w:pPr>
          </w:p>
        </w:tc>
        <w:tc>
          <w:tcPr>
            <w:tcW w:w="1417" w:type="dxa"/>
            <w:tcBorders>
              <w:top w:val="single" w:sz="6" w:space="0" w:color="000000"/>
            </w:tcBorders>
          </w:tcPr>
          <w:p>
            <w:pPr>
              <w:pStyle w:val="TableParagraph"/>
              <w:rPr>
                <w:rFonts w:ascii="Times New Roman"/>
                <w:sz w:val="24"/>
              </w:rPr>
            </w:pPr>
          </w:p>
        </w:tc>
        <w:tc>
          <w:tcPr>
            <w:tcW w:w="1420" w:type="dxa"/>
            <w:tcBorders>
              <w:top w:val="single" w:sz="6" w:space="0" w:color="000000"/>
            </w:tcBorders>
          </w:tcPr>
          <w:p>
            <w:pPr>
              <w:pStyle w:val="TableParagraph"/>
              <w:rPr>
                <w:rFonts w:ascii="Times New Roman"/>
                <w:sz w:val="24"/>
              </w:rPr>
            </w:pPr>
          </w:p>
        </w:tc>
        <w:tc>
          <w:tcPr>
            <w:tcW w:w="1703" w:type="dxa"/>
            <w:tcBorders>
              <w:top w:val="single" w:sz="6" w:space="0" w:color="000000"/>
            </w:tcBorders>
          </w:tcPr>
          <w:p>
            <w:pPr>
              <w:pStyle w:val="TableParagraph"/>
              <w:rPr>
                <w:rFonts w:ascii="Times New Roman"/>
                <w:sz w:val="24"/>
              </w:rPr>
            </w:pPr>
          </w:p>
        </w:tc>
        <w:tc>
          <w:tcPr>
            <w:tcW w:w="1702" w:type="dxa"/>
            <w:tcBorders>
              <w:top w:val="single" w:sz="6" w:space="0" w:color="000000"/>
            </w:tcBorders>
          </w:tcPr>
          <w:p>
            <w:pPr>
              <w:pStyle w:val="TableParagraph"/>
              <w:rPr>
                <w:rFonts w:ascii="Times New Roman"/>
                <w:sz w:val="24"/>
              </w:rPr>
            </w:pPr>
          </w:p>
        </w:tc>
      </w:tr>
      <w:tr>
        <w:trPr>
          <w:trHeight w:val="2500" w:hRule="atLeast"/>
        </w:trPr>
        <w:tc>
          <w:tcPr>
            <w:tcW w:w="1135" w:type="dxa"/>
          </w:tcPr>
          <w:p>
            <w:pPr>
              <w:pStyle w:val="TableParagraph"/>
              <w:rPr>
                <w:sz w:val="24"/>
              </w:rPr>
            </w:pPr>
          </w:p>
          <w:p>
            <w:pPr>
              <w:pStyle w:val="TableParagraph"/>
              <w:rPr>
                <w:sz w:val="24"/>
              </w:rPr>
            </w:pPr>
          </w:p>
          <w:p>
            <w:pPr>
              <w:pStyle w:val="TableParagraph"/>
              <w:spacing w:before="5"/>
              <w:rPr>
                <w:sz w:val="29"/>
              </w:rPr>
            </w:pPr>
          </w:p>
          <w:p>
            <w:pPr>
              <w:pStyle w:val="TableParagraph"/>
              <w:spacing w:before="1"/>
              <w:ind w:left="306" w:right="299"/>
              <w:jc w:val="center"/>
              <w:rPr>
                <w:sz w:val="24"/>
              </w:rPr>
            </w:pPr>
            <w:r>
              <w:rPr>
                <w:sz w:val="24"/>
              </w:rPr>
              <w:t>備註</w:t>
            </w:r>
          </w:p>
        </w:tc>
        <w:tc>
          <w:tcPr>
            <w:tcW w:w="1277" w:type="dxa"/>
          </w:tcPr>
          <w:p>
            <w:pPr>
              <w:pStyle w:val="TableParagraph"/>
              <w:rPr>
                <w:rFonts w:ascii="Times New Roman"/>
                <w:sz w:val="24"/>
              </w:rPr>
            </w:pPr>
          </w:p>
        </w:tc>
        <w:tc>
          <w:tcPr>
            <w:tcW w:w="1278" w:type="dxa"/>
          </w:tcPr>
          <w:p>
            <w:pPr>
              <w:pStyle w:val="TableParagraph"/>
              <w:rPr>
                <w:rFonts w:ascii="Times New Roman"/>
                <w:sz w:val="24"/>
              </w:rPr>
            </w:pPr>
          </w:p>
        </w:tc>
        <w:tc>
          <w:tcPr>
            <w:tcW w:w="1417" w:type="dxa"/>
          </w:tcPr>
          <w:p>
            <w:pPr>
              <w:pStyle w:val="TableParagraph"/>
              <w:rPr>
                <w:rFonts w:ascii="Times New Roman"/>
                <w:sz w:val="24"/>
              </w:rPr>
            </w:pPr>
          </w:p>
        </w:tc>
        <w:tc>
          <w:tcPr>
            <w:tcW w:w="1420" w:type="dxa"/>
          </w:tcPr>
          <w:p>
            <w:pPr>
              <w:pStyle w:val="TableParagraph"/>
              <w:rPr>
                <w:rFonts w:ascii="Times New Roman"/>
                <w:sz w:val="24"/>
              </w:rPr>
            </w:pPr>
          </w:p>
        </w:tc>
        <w:tc>
          <w:tcPr>
            <w:tcW w:w="1703" w:type="dxa"/>
          </w:tcPr>
          <w:p>
            <w:pPr>
              <w:pStyle w:val="TableParagraph"/>
              <w:rPr>
                <w:rFonts w:ascii="Times New Roman"/>
                <w:sz w:val="24"/>
              </w:rPr>
            </w:pPr>
          </w:p>
        </w:tc>
        <w:tc>
          <w:tcPr>
            <w:tcW w:w="1702" w:type="dxa"/>
          </w:tcPr>
          <w:p>
            <w:pPr>
              <w:pStyle w:val="TableParagraph"/>
              <w:rPr>
                <w:rFonts w:ascii="Times New Roman"/>
                <w:sz w:val="24"/>
              </w:rPr>
            </w:pPr>
          </w:p>
        </w:tc>
      </w:tr>
    </w:tbl>
    <w:p>
      <w:pPr>
        <w:pStyle w:val="BodyText"/>
        <w:ind w:left="0"/>
        <w:rPr>
          <w:sz w:val="20"/>
        </w:rPr>
      </w:pPr>
    </w:p>
    <w:p>
      <w:pPr>
        <w:pStyle w:val="BodyText"/>
        <w:spacing w:before="9"/>
        <w:ind w:left="0"/>
        <w:rPr>
          <w:sz w:val="28"/>
        </w:rPr>
      </w:pPr>
    </w:p>
    <w:p>
      <w:pPr>
        <w:tabs>
          <w:tab w:pos="10147" w:val="left" w:leader="none"/>
        </w:tabs>
        <w:spacing w:line="256" w:lineRule="auto" w:before="52"/>
        <w:ind w:left="6849" w:right="1017" w:hanging="240"/>
        <w:jc w:val="left"/>
        <w:rPr>
          <w:rFonts w:ascii="Times New Roman" w:eastAsia="Times New Roman"/>
          <w:b/>
          <w:sz w:val="24"/>
        </w:rPr>
      </w:pPr>
      <w:r>
        <w:rPr>
          <w:b/>
          <w:w w:val="95"/>
          <w:sz w:val="24"/>
        </w:rPr>
        <w:t>投摽廠商：</w:t>
      </w:r>
      <w:r>
        <w:rPr>
          <w:rFonts w:ascii="Times New Roman" w:eastAsia="Times New Roman"/>
          <w:b/>
          <w:w w:val="95"/>
          <w:sz w:val="24"/>
          <w:u w:val="single"/>
        </w:rPr>
        <w:tab/>
      </w:r>
      <w:r>
        <w:rPr>
          <w:b/>
          <w:w w:val="95"/>
          <w:sz w:val="24"/>
          <w:u w:val="single"/>
        </w:rPr>
        <w:t>                   </w:t>
      </w:r>
      <w:r>
        <w:rPr>
          <w:b/>
          <w:w w:val="95"/>
          <w:sz w:val="24"/>
        </w:rPr>
        <w:t>負責人：</w:t>
      </w:r>
      <w:r>
        <w:rPr>
          <w:rFonts w:ascii="Times New Roman" w:eastAsia="Times New Roman"/>
          <w:b/>
          <w:sz w:val="24"/>
          <w:u w:val="single"/>
        </w:rPr>
        <w:t> </w:t>
        <w:tab/>
      </w:r>
    </w:p>
    <w:p>
      <w:pPr>
        <w:spacing w:after="0" w:line="256" w:lineRule="auto"/>
        <w:jc w:val="left"/>
        <w:rPr>
          <w:rFonts w:ascii="Times New Roman" w:eastAsia="Times New Roman"/>
          <w:sz w:val="24"/>
        </w:rPr>
        <w:sectPr>
          <w:pgSz w:w="11910" w:h="16850"/>
          <w:pgMar w:top="1600" w:bottom="280" w:left="400" w:right="340"/>
        </w:sectPr>
      </w:pPr>
    </w:p>
    <w:p>
      <w:pPr>
        <w:pStyle w:val="BodyText"/>
        <w:spacing w:before="4"/>
        <w:ind w:left="0"/>
        <w:rPr>
          <w:rFonts w:ascii="Times New Roman"/>
          <w:b/>
          <w:sz w:val="10"/>
        </w:rPr>
      </w:pPr>
    </w:p>
    <w:p>
      <w:pPr>
        <w:spacing w:line="223" w:lineRule="auto" w:before="65"/>
        <w:ind w:left="1909" w:right="1587" w:firstLine="74"/>
        <w:jc w:val="left"/>
        <w:rPr>
          <w:sz w:val="26"/>
        </w:rPr>
      </w:pPr>
      <w:r>
        <w:rPr>
          <w:sz w:val="26"/>
        </w:rPr>
        <w:t>「</w:t>
      </w:r>
      <w:r>
        <w:rPr>
          <w:sz w:val="28"/>
        </w:rPr>
        <w:t>國際獸醫防疫人才培訓中心暨獸醫教學醫院大樓新建工程</w:t>
      </w:r>
      <w:r>
        <w:rPr>
          <w:sz w:val="26"/>
        </w:rPr>
        <w:t>」</w:t>
      </w:r>
      <w:r>
        <w:rPr>
          <w:w w:val="95"/>
          <w:sz w:val="26"/>
        </w:rPr>
        <w:t>投標廠商審查作業自我檢核審查表-主要材料設備使用計畫（表三）</w:t>
      </w:r>
    </w:p>
    <w:p>
      <w:pPr>
        <w:pStyle w:val="BodyText"/>
        <w:spacing w:line="319" w:lineRule="exact"/>
        <w:ind w:left="1398"/>
      </w:pPr>
      <w:r>
        <w:rPr>
          <w:spacing w:val="-1"/>
        </w:rPr>
        <w:t>廠商名稱:</w:t>
      </w:r>
    </w:p>
    <w:p>
      <w:pPr>
        <w:pStyle w:val="BodyText"/>
        <w:spacing w:before="6"/>
        <w:ind w:left="0"/>
        <w:rPr>
          <w:sz w:val="21"/>
        </w:rPr>
      </w:pPr>
    </w:p>
    <w:tbl>
      <w:tblPr>
        <w:tblW w:w="0" w:type="auto"/>
        <w:jc w:val="left"/>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2096"/>
        <w:gridCol w:w="6522"/>
      </w:tblGrid>
      <w:tr>
        <w:trPr>
          <w:trHeight w:val="623" w:hRule="atLeast"/>
        </w:trPr>
        <w:tc>
          <w:tcPr>
            <w:tcW w:w="456" w:type="dxa"/>
          </w:tcPr>
          <w:p>
            <w:pPr>
              <w:pStyle w:val="TableParagraph"/>
              <w:spacing w:line="312" w:lineRule="exact"/>
              <w:ind w:left="105"/>
              <w:rPr>
                <w:sz w:val="24"/>
              </w:rPr>
            </w:pPr>
            <w:r>
              <w:rPr>
                <w:sz w:val="24"/>
              </w:rPr>
              <w:t>項</w:t>
            </w:r>
          </w:p>
          <w:p>
            <w:pPr>
              <w:pStyle w:val="TableParagraph"/>
              <w:spacing w:line="292" w:lineRule="exact"/>
              <w:ind w:left="105"/>
              <w:rPr>
                <w:sz w:val="24"/>
              </w:rPr>
            </w:pPr>
            <w:r>
              <w:rPr>
                <w:sz w:val="24"/>
              </w:rPr>
              <w:t>次</w:t>
            </w:r>
          </w:p>
        </w:tc>
        <w:tc>
          <w:tcPr>
            <w:tcW w:w="2096" w:type="dxa"/>
          </w:tcPr>
          <w:p>
            <w:pPr>
              <w:pStyle w:val="TableParagraph"/>
              <w:spacing w:before="144"/>
              <w:ind w:left="786" w:right="780"/>
              <w:jc w:val="center"/>
              <w:rPr>
                <w:sz w:val="24"/>
              </w:rPr>
            </w:pPr>
            <w:r>
              <w:rPr>
                <w:sz w:val="24"/>
              </w:rPr>
              <w:t>項目</w:t>
            </w:r>
          </w:p>
        </w:tc>
        <w:tc>
          <w:tcPr>
            <w:tcW w:w="6522" w:type="dxa"/>
          </w:tcPr>
          <w:p>
            <w:pPr>
              <w:pStyle w:val="TableParagraph"/>
              <w:spacing w:before="144"/>
              <w:ind w:left="2278" w:right="2273"/>
              <w:jc w:val="center"/>
              <w:rPr>
                <w:sz w:val="24"/>
              </w:rPr>
            </w:pPr>
            <w:r>
              <w:rPr>
                <w:sz w:val="24"/>
              </w:rPr>
              <w:t>廠牌及規格(型號)</w:t>
            </w:r>
          </w:p>
        </w:tc>
      </w:tr>
      <w:tr>
        <w:trPr>
          <w:trHeight w:val="623" w:hRule="atLeast"/>
        </w:trPr>
        <w:tc>
          <w:tcPr>
            <w:tcW w:w="456" w:type="dxa"/>
          </w:tcPr>
          <w:p>
            <w:pPr>
              <w:pStyle w:val="TableParagraph"/>
              <w:spacing w:before="143"/>
              <w:ind w:right="158"/>
              <w:jc w:val="right"/>
              <w:rPr>
                <w:sz w:val="24"/>
              </w:rPr>
            </w:pPr>
            <w:r>
              <w:rPr>
                <w:sz w:val="24"/>
              </w:rPr>
              <w:t>1</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3"/>
              <w:ind w:right="158"/>
              <w:jc w:val="right"/>
              <w:rPr>
                <w:sz w:val="24"/>
              </w:rPr>
            </w:pPr>
            <w:r>
              <w:rPr>
                <w:sz w:val="24"/>
              </w:rPr>
              <w:t>2</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6" w:hRule="atLeast"/>
        </w:trPr>
        <w:tc>
          <w:tcPr>
            <w:tcW w:w="456" w:type="dxa"/>
          </w:tcPr>
          <w:p>
            <w:pPr>
              <w:pStyle w:val="TableParagraph"/>
              <w:spacing w:before="147"/>
              <w:ind w:right="158"/>
              <w:jc w:val="right"/>
              <w:rPr>
                <w:sz w:val="24"/>
              </w:rPr>
            </w:pPr>
            <w:r>
              <w:rPr>
                <w:sz w:val="24"/>
              </w:rPr>
              <w:t>3</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4"/>
              <w:ind w:right="158"/>
              <w:jc w:val="right"/>
              <w:rPr>
                <w:sz w:val="24"/>
              </w:rPr>
            </w:pPr>
            <w:r>
              <w:rPr>
                <w:sz w:val="24"/>
              </w:rPr>
              <w:t>4</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3"/>
              <w:ind w:right="158"/>
              <w:jc w:val="right"/>
              <w:rPr>
                <w:sz w:val="24"/>
              </w:rPr>
            </w:pPr>
            <w:r>
              <w:rPr>
                <w:sz w:val="24"/>
              </w:rPr>
              <w:t>5</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4"/>
              <w:ind w:right="158"/>
              <w:jc w:val="right"/>
              <w:rPr>
                <w:sz w:val="24"/>
              </w:rPr>
            </w:pPr>
            <w:r>
              <w:rPr>
                <w:sz w:val="24"/>
              </w:rPr>
              <w:t>6</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3"/>
              <w:ind w:right="158"/>
              <w:jc w:val="right"/>
              <w:rPr>
                <w:sz w:val="24"/>
              </w:rPr>
            </w:pPr>
            <w:r>
              <w:rPr>
                <w:sz w:val="24"/>
              </w:rPr>
              <w:t>7</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4" w:hRule="atLeast"/>
        </w:trPr>
        <w:tc>
          <w:tcPr>
            <w:tcW w:w="456" w:type="dxa"/>
          </w:tcPr>
          <w:p>
            <w:pPr>
              <w:pStyle w:val="TableParagraph"/>
              <w:spacing w:before="144"/>
              <w:ind w:right="158"/>
              <w:jc w:val="right"/>
              <w:rPr>
                <w:sz w:val="24"/>
              </w:rPr>
            </w:pPr>
            <w:r>
              <w:rPr>
                <w:sz w:val="24"/>
              </w:rPr>
              <w:t>8</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5" w:hRule="atLeast"/>
        </w:trPr>
        <w:tc>
          <w:tcPr>
            <w:tcW w:w="456" w:type="dxa"/>
          </w:tcPr>
          <w:p>
            <w:pPr>
              <w:pStyle w:val="TableParagraph"/>
              <w:spacing w:before="146"/>
              <w:ind w:right="158"/>
              <w:jc w:val="right"/>
              <w:rPr>
                <w:sz w:val="24"/>
              </w:rPr>
            </w:pPr>
            <w:r>
              <w:rPr>
                <w:sz w:val="24"/>
              </w:rPr>
              <w:t>9</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r>
        <w:trPr>
          <w:trHeight w:val="623" w:hRule="atLeast"/>
        </w:trPr>
        <w:tc>
          <w:tcPr>
            <w:tcW w:w="456" w:type="dxa"/>
          </w:tcPr>
          <w:p>
            <w:pPr>
              <w:pStyle w:val="TableParagraph"/>
              <w:spacing w:before="144"/>
              <w:ind w:right="98"/>
              <w:jc w:val="right"/>
              <w:rPr>
                <w:sz w:val="24"/>
              </w:rPr>
            </w:pPr>
            <w:r>
              <w:rPr>
                <w:sz w:val="24"/>
              </w:rPr>
              <w:t>10</w:t>
            </w:r>
          </w:p>
        </w:tc>
        <w:tc>
          <w:tcPr>
            <w:tcW w:w="2096" w:type="dxa"/>
          </w:tcPr>
          <w:p>
            <w:pPr>
              <w:pStyle w:val="TableParagraph"/>
              <w:rPr>
                <w:rFonts w:ascii="Times New Roman"/>
                <w:sz w:val="24"/>
              </w:rPr>
            </w:pPr>
          </w:p>
        </w:tc>
        <w:tc>
          <w:tcPr>
            <w:tcW w:w="6522" w:type="dxa"/>
          </w:tcPr>
          <w:p>
            <w:pPr>
              <w:pStyle w:val="TableParagraph"/>
              <w:rPr>
                <w:rFonts w:ascii="Times New Roman"/>
                <w:sz w:val="24"/>
              </w:rPr>
            </w:pPr>
          </w:p>
        </w:tc>
      </w:tr>
    </w:tbl>
    <w:p>
      <w:pPr>
        <w:pStyle w:val="BodyText"/>
        <w:spacing w:before="12"/>
        <w:ind w:left="0"/>
        <w:rPr>
          <w:sz w:val="21"/>
        </w:rPr>
      </w:pPr>
    </w:p>
    <w:p>
      <w:pPr>
        <w:pStyle w:val="BodyText"/>
        <w:spacing w:line="324" w:lineRule="exact"/>
        <w:ind w:left="978"/>
        <w:rPr>
          <w:rFonts w:ascii="新細明體" w:eastAsia="新細明體" w:hint="eastAsia"/>
        </w:rPr>
      </w:pPr>
      <w:r>
        <w:rPr>
          <w:spacing w:val="-1"/>
        </w:rPr>
        <w:t>請注意</w:t>
      </w:r>
      <w:r>
        <w:rPr>
          <w:rFonts w:ascii="新細明體" w:eastAsia="新細明體" w:hint="eastAsia"/>
        </w:rPr>
        <w:t>：</w:t>
      </w:r>
    </w:p>
    <w:p>
      <w:pPr>
        <w:spacing w:line="223" w:lineRule="auto" w:before="5"/>
        <w:ind w:left="978" w:right="1297" w:firstLine="0"/>
        <w:jc w:val="both"/>
        <w:rPr>
          <w:b/>
          <w:sz w:val="24"/>
        </w:rPr>
      </w:pPr>
      <w:r>
        <w:rPr>
          <w:b/>
          <w:spacing w:val="-1"/>
          <w:sz w:val="24"/>
        </w:rPr>
        <w:t>承諾擬使用材料或設備之廠牌、型號、規格須與實際施工時一致，若承諾擬使用材料或設備於施工時停產或短缺而須使用較高等級廠牌，需重新送審資料經本校同意後方</w:t>
      </w:r>
      <w:r>
        <w:rPr>
          <w:b/>
          <w:sz w:val="24"/>
        </w:rPr>
        <w:t>得施作。</w:t>
      </w:r>
    </w:p>
    <w:p>
      <w:pPr>
        <w:pStyle w:val="BodyText"/>
        <w:ind w:left="0"/>
        <w:rPr>
          <w:b/>
        </w:rPr>
      </w:pPr>
    </w:p>
    <w:p>
      <w:pPr>
        <w:pStyle w:val="BodyText"/>
        <w:ind w:left="0"/>
        <w:rPr>
          <w:b/>
        </w:rPr>
      </w:pPr>
    </w:p>
    <w:p>
      <w:pPr>
        <w:pStyle w:val="BodyText"/>
        <w:spacing w:before="1"/>
        <w:ind w:left="0"/>
        <w:rPr>
          <w:b/>
          <w:sz w:val="19"/>
        </w:rPr>
      </w:pPr>
    </w:p>
    <w:p>
      <w:pPr>
        <w:tabs>
          <w:tab w:pos="10147" w:val="left" w:leader="none"/>
        </w:tabs>
        <w:spacing w:line="223" w:lineRule="auto" w:before="1"/>
        <w:ind w:left="6849" w:right="1017" w:hanging="240"/>
        <w:jc w:val="left"/>
        <w:rPr>
          <w:rFonts w:ascii="Times New Roman" w:eastAsia="Times New Roman"/>
          <w:b/>
          <w:sz w:val="24"/>
        </w:rPr>
      </w:pPr>
      <w:r>
        <w:rPr>
          <w:b/>
          <w:w w:val="95"/>
          <w:sz w:val="24"/>
        </w:rPr>
        <w:t>投摽廠商：</w:t>
      </w:r>
      <w:r>
        <w:rPr>
          <w:rFonts w:ascii="Times New Roman" w:eastAsia="Times New Roman"/>
          <w:b/>
          <w:w w:val="95"/>
          <w:sz w:val="24"/>
          <w:u w:val="single"/>
        </w:rPr>
        <w:tab/>
      </w:r>
      <w:r>
        <w:rPr>
          <w:b/>
          <w:w w:val="95"/>
          <w:sz w:val="24"/>
          <w:u w:val="single"/>
        </w:rPr>
        <w:t>                   </w:t>
      </w:r>
      <w:r>
        <w:rPr>
          <w:b/>
          <w:w w:val="95"/>
          <w:sz w:val="24"/>
        </w:rPr>
        <w:t>負責人：</w:t>
      </w:r>
      <w:r>
        <w:rPr>
          <w:rFonts w:ascii="Times New Roman" w:eastAsia="Times New Roman"/>
          <w:b/>
          <w:sz w:val="24"/>
          <w:u w:val="single"/>
        </w:rPr>
        <w:t> </w:t>
        <w:tab/>
      </w:r>
    </w:p>
    <w:p>
      <w:pPr>
        <w:spacing w:after="0" w:line="223" w:lineRule="auto"/>
        <w:jc w:val="left"/>
        <w:rPr>
          <w:rFonts w:ascii="Times New Roman" w:eastAsia="Times New Roman"/>
          <w:sz w:val="24"/>
        </w:rPr>
        <w:sectPr>
          <w:pgSz w:w="11910" w:h="16850"/>
          <w:pgMar w:top="1600" w:bottom="280" w:left="400" w:right="340"/>
        </w:sectPr>
      </w:pPr>
    </w:p>
    <w:p>
      <w:pPr>
        <w:pStyle w:val="Heading1"/>
        <w:spacing w:line="223" w:lineRule="auto"/>
        <w:ind w:left="1964" w:right="1638"/>
      </w:pPr>
      <w:r>
        <w:rPr/>
        <w:pict>
          <v:group style="position:absolute;margin-left:446.988556pt;margin-top:707.699951pt;width:144.450pt;height:135.35pt;mso-position-horizontal-relative:page;mso-position-vertical-relative:page;z-index:15729152" id="docshapegroup1" coordorigin="8940,14154" coordsize="2889,2707">
            <v:shape style="position:absolute;left:8959;top:14174;width:2849;height:2667" id="docshape2" coordorigin="8960,14174" coordsize="2849,2667" path="m11808,14174l8960,16841,11808,16841,11808,14174xe" filled="true" fillcolor="#000000" stroked="false">
              <v:path arrowok="t"/>
              <v:fill type="solid"/>
            </v:shape>
            <v:shape style="position:absolute;left:8959;top:14174;width:2849;height:2667" id="docshape3" coordorigin="8960,14174" coordsize="2849,2667" path="m8960,16841l11808,14174,11808,16841e" filled="false" stroked="true" strokeweight="2pt" strokecolor="#000000">
              <v:path arrowok="t"/>
              <v:stroke dashstyle="solid"/>
            </v:shape>
            <w10:wrap type="none"/>
          </v:group>
        </w:pict>
      </w:r>
      <w:r>
        <w:rPr/>
        <w:t>【國際獸醫防疫人才培訓中心暨獸醫教學醫院大樓新建工程】評分及格最低標審查作業審查委員評分表</w:t>
      </w:r>
    </w:p>
    <w:p>
      <w:pPr>
        <w:tabs>
          <w:tab w:pos="7000" w:val="left" w:leader="none"/>
          <w:tab w:pos="8121" w:val="left" w:leader="none"/>
        </w:tabs>
        <w:spacing w:line="374" w:lineRule="exact" w:before="0"/>
        <w:ind w:left="1398" w:right="0" w:firstLine="0"/>
        <w:jc w:val="left"/>
        <w:rPr>
          <w:sz w:val="28"/>
        </w:rPr>
      </w:pPr>
      <w:r>
        <w:rPr>
          <w:b/>
          <w:sz w:val="28"/>
        </w:rPr>
        <w:t>委員編號</w:t>
      </w:r>
      <w:r>
        <w:rPr>
          <w:rFonts w:ascii="新細明體" w:eastAsia="新細明體" w:hint="eastAsia"/>
          <w:b/>
          <w:sz w:val="28"/>
        </w:rPr>
        <w:t>：</w:t>
        <w:tab/>
      </w:r>
      <w:r>
        <w:rPr>
          <w:sz w:val="28"/>
        </w:rPr>
        <w:t>日期:</w:t>
        <w:tab/>
        <w:t>年</w:t>
      </w:r>
      <w:r>
        <w:rPr>
          <w:spacing w:val="139"/>
          <w:sz w:val="28"/>
        </w:rPr>
        <w:t> </w:t>
      </w:r>
      <w:r>
        <w:rPr>
          <w:sz w:val="28"/>
        </w:rPr>
        <w:t>月</w:t>
      </w:r>
      <w:r>
        <w:rPr>
          <w:spacing w:val="142"/>
          <w:sz w:val="28"/>
        </w:rPr>
        <w:t> </w:t>
      </w:r>
      <w:r>
        <w:rPr>
          <w:sz w:val="28"/>
        </w:rPr>
        <w:t>日</w: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2535"/>
        <w:gridCol w:w="3562"/>
        <w:gridCol w:w="991"/>
        <w:gridCol w:w="2268"/>
      </w:tblGrid>
      <w:tr>
        <w:trPr>
          <w:trHeight w:val="719" w:hRule="atLeast"/>
        </w:trPr>
        <w:tc>
          <w:tcPr>
            <w:tcW w:w="1560" w:type="dxa"/>
            <w:vMerge w:val="restart"/>
          </w:tcPr>
          <w:p>
            <w:pPr>
              <w:pStyle w:val="TableParagraph"/>
              <w:spacing w:before="9"/>
              <w:rPr>
                <w:sz w:val="23"/>
              </w:rPr>
            </w:pPr>
          </w:p>
          <w:p>
            <w:pPr>
              <w:pStyle w:val="TableParagraph"/>
              <w:ind w:left="259"/>
              <w:rPr>
                <w:sz w:val="26"/>
              </w:rPr>
            </w:pPr>
            <w:r>
              <w:rPr>
                <w:w w:val="95"/>
                <w:sz w:val="26"/>
              </w:rPr>
              <w:t>審查項目</w:t>
            </w:r>
          </w:p>
        </w:tc>
        <w:tc>
          <w:tcPr>
            <w:tcW w:w="6097" w:type="dxa"/>
            <w:gridSpan w:val="2"/>
            <w:vMerge w:val="restart"/>
          </w:tcPr>
          <w:p>
            <w:pPr>
              <w:pStyle w:val="TableParagraph"/>
              <w:spacing w:before="9"/>
              <w:rPr>
                <w:sz w:val="23"/>
              </w:rPr>
            </w:pPr>
          </w:p>
          <w:p>
            <w:pPr>
              <w:pStyle w:val="TableParagraph"/>
              <w:ind w:left="2532" w:right="2527"/>
              <w:jc w:val="center"/>
              <w:rPr>
                <w:sz w:val="26"/>
              </w:rPr>
            </w:pPr>
            <w:r>
              <w:rPr>
                <w:w w:val="95"/>
                <w:sz w:val="26"/>
              </w:rPr>
              <w:t>審查子項</w:t>
            </w:r>
          </w:p>
        </w:tc>
        <w:tc>
          <w:tcPr>
            <w:tcW w:w="991" w:type="dxa"/>
            <w:vMerge w:val="restart"/>
          </w:tcPr>
          <w:p>
            <w:pPr>
              <w:pStyle w:val="TableParagraph"/>
              <w:spacing w:before="8"/>
              <w:rPr>
                <w:sz w:val="22"/>
              </w:rPr>
            </w:pPr>
          </w:p>
          <w:p>
            <w:pPr>
              <w:pStyle w:val="TableParagraph"/>
              <w:ind w:left="213"/>
              <w:rPr>
                <w:b/>
                <w:sz w:val="28"/>
              </w:rPr>
            </w:pPr>
            <w:r>
              <w:rPr>
                <w:b/>
                <w:sz w:val="28"/>
              </w:rPr>
              <w:t>配分</w:t>
            </w:r>
          </w:p>
        </w:tc>
        <w:tc>
          <w:tcPr>
            <w:tcW w:w="2268" w:type="dxa"/>
          </w:tcPr>
          <w:p>
            <w:pPr>
              <w:pStyle w:val="TableParagraph"/>
              <w:spacing w:before="150"/>
              <w:ind w:left="136" w:right="122"/>
              <w:jc w:val="center"/>
              <w:rPr>
                <w:sz w:val="28"/>
              </w:rPr>
            </w:pPr>
            <w:r>
              <w:rPr>
                <w:sz w:val="28"/>
              </w:rPr>
              <w:t>廠商標號及名稱</w:t>
            </w:r>
          </w:p>
        </w:tc>
      </w:tr>
      <w:tr>
        <w:trPr>
          <w:trHeight w:val="321" w:hRule="atLeast"/>
        </w:trPr>
        <w:tc>
          <w:tcPr>
            <w:tcW w:w="1560" w:type="dxa"/>
            <w:vMerge/>
            <w:tcBorders>
              <w:top w:val="nil"/>
            </w:tcBorders>
          </w:tcPr>
          <w:p>
            <w:pPr>
              <w:rPr>
                <w:sz w:val="2"/>
                <w:szCs w:val="2"/>
              </w:rPr>
            </w:pPr>
          </w:p>
        </w:tc>
        <w:tc>
          <w:tcPr>
            <w:tcW w:w="6097" w:type="dxa"/>
            <w:gridSpan w:val="2"/>
            <w:vMerge/>
            <w:tcBorders>
              <w:top w:val="nil"/>
            </w:tcBorders>
          </w:tcPr>
          <w:p>
            <w:pPr>
              <w:rPr>
                <w:sz w:val="2"/>
                <w:szCs w:val="2"/>
              </w:rPr>
            </w:pPr>
          </w:p>
        </w:tc>
        <w:tc>
          <w:tcPr>
            <w:tcW w:w="991" w:type="dxa"/>
            <w:vMerge/>
            <w:tcBorders>
              <w:top w:val="nil"/>
            </w:tcBorders>
          </w:tcPr>
          <w:p>
            <w:pPr>
              <w:rPr>
                <w:sz w:val="2"/>
                <w:szCs w:val="2"/>
              </w:rPr>
            </w:pPr>
          </w:p>
        </w:tc>
        <w:tc>
          <w:tcPr>
            <w:tcW w:w="2268" w:type="dxa"/>
          </w:tcPr>
          <w:p>
            <w:pPr>
              <w:pStyle w:val="TableParagraph"/>
              <w:spacing w:line="301" w:lineRule="exact"/>
              <w:ind w:left="10"/>
              <w:jc w:val="center"/>
              <w:rPr>
                <w:rFonts w:ascii="Times New Roman"/>
                <w:sz w:val="28"/>
              </w:rPr>
            </w:pPr>
            <w:r>
              <w:rPr>
                <w:rFonts w:ascii="Times New Roman"/>
                <w:w w:val="100"/>
                <w:sz w:val="28"/>
              </w:rPr>
              <w:t>A</w:t>
            </w:r>
          </w:p>
        </w:tc>
      </w:tr>
      <w:tr>
        <w:trPr>
          <w:trHeight w:val="309" w:hRule="atLeast"/>
        </w:trPr>
        <w:tc>
          <w:tcPr>
            <w:tcW w:w="1560" w:type="dxa"/>
            <w:vMerge w:val="restart"/>
          </w:tcPr>
          <w:p>
            <w:pPr>
              <w:pStyle w:val="TableParagraph"/>
              <w:rPr>
                <w:sz w:val="24"/>
              </w:rPr>
            </w:pPr>
          </w:p>
          <w:p>
            <w:pPr>
              <w:pStyle w:val="TableParagraph"/>
              <w:rPr>
                <w:sz w:val="24"/>
              </w:rPr>
            </w:pPr>
          </w:p>
          <w:p>
            <w:pPr>
              <w:pStyle w:val="TableParagraph"/>
              <w:spacing w:before="7"/>
              <w:rPr>
                <w:sz w:val="15"/>
              </w:rPr>
            </w:pPr>
          </w:p>
          <w:p>
            <w:pPr>
              <w:pStyle w:val="TableParagraph"/>
              <w:spacing w:line="223" w:lineRule="auto" w:before="1"/>
              <w:ind w:left="179" w:right="168"/>
              <w:rPr>
                <w:sz w:val="24"/>
              </w:rPr>
            </w:pPr>
            <w:r>
              <w:rPr>
                <w:spacing w:val="-1"/>
                <w:sz w:val="24"/>
              </w:rPr>
              <w:t>近五年內履約績效情形</w:t>
            </w:r>
          </w:p>
        </w:tc>
        <w:tc>
          <w:tcPr>
            <w:tcW w:w="6097" w:type="dxa"/>
            <w:gridSpan w:val="2"/>
          </w:tcPr>
          <w:p>
            <w:pPr>
              <w:pStyle w:val="TableParagraph"/>
              <w:spacing w:line="258" w:lineRule="exact"/>
              <w:ind w:left="108"/>
              <w:rPr>
                <w:sz w:val="20"/>
              </w:rPr>
            </w:pPr>
            <w:r>
              <w:rPr>
                <w:sz w:val="20"/>
              </w:rPr>
              <w:t>工程內容認知。</w:t>
            </w:r>
          </w:p>
        </w:tc>
        <w:tc>
          <w:tcPr>
            <w:tcW w:w="991" w:type="dxa"/>
            <w:vMerge w:val="restart"/>
          </w:tcPr>
          <w:p>
            <w:pPr>
              <w:pStyle w:val="TableParagraph"/>
              <w:rPr>
                <w:sz w:val="30"/>
              </w:rPr>
            </w:pPr>
          </w:p>
          <w:p>
            <w:pPr>
              <w:pStyle w:val="TableParagraph"/>
              <w:rPr>
                <w:sz w:val="44"/>
              </w:rPr>
            </w:pPr>
          </w:p>
          <w:p>
            <w:pPr>
              <w:pStyle w:val="TableParagraph"/>
              <w:ind w:left="336" w:right="323"/>
              <w:jc w:val="center"/>
              <w:rPr>
                <w:rFonts w:ascii="Times New Roman"/>
                <w:sz w:val="28"/>
              </w:rPr>
            </w:pPr>
            <w:r>
              <w:rPr>
                <w:rFonts w:ascii="Times New Roman"/>
                <w:sz w:val="28"/>
              </w:rPr>
              <w:t>20</w:t>
            </w:r>
          </w:p>
        </w:tc>
        <w:tc>
          <w:tcPr>
            <w:tcW w:w="2268" w:type="dxa"/>
            <w:vMerge w:val="restart"/>
          </w:tcPr>
          <w:p>
            <w:pPr>
              <w:pStyle w:val="TableParagraph"/>
              <w:rPr>
                <w:rFonts w:ascii="Times New Roman"/>
                <w:sz w:val="20"/>
              </w:rPr>
            </w:pPr>
          </w:p>
        </w:tc>
      </w:tr>
      <w:tr>
        <w:trPr>
          <w:trHeight w:val="520" w:hRule="atLeast"/>
        </w:trPr>
        <w:tc>
          <w:tcPr>
            <w:tcW w:w="1560" w:type="dxa"/>
            <w:vMerge/>
            <w:tcBorders>
              <w:top w:val="nil"/>
            </w:tcBorders>
          </w:tcPr>
          <w:p>
            <w:pPr>
              <w:rPr>
                <w:sz w:val="2"/>
                <w:szCs w:val="2"/>
              </w:rPr>
            </w:pPr>
          </w:p>
        </w:tc>
        <w:tc>
          <w:tcPr>
            <w:tcW w:w="6097" w:type="dxa"/>
            <w:gridSpan w:val="2"/>
          </w:tcPr>
          <w:p>
            <w:pPr>
              <w:pStyle w:val="TableParagraph"/>
              <w:spacing w:line="245" w:lineRule="exact"/>
              <w:ind w:left="108"/>
              <w:rPr>
                <w:sz w:val="20"/>
              </w:rPr>
            </w:pPr>
            <w:r>
              <w:rPr>
                <w:sz w:val="20"/>
              </w:rPr>
              <w:t>公司組織簡介及人力、設備資源、目前承攬之尚在執行中工程及其</w:t>
            </w:r>
          </w:p>
          <w:p>
            <w:pPr>
              <w:pStyle w:val="TableParagraph"/>
              <w:spacing w:line="255" w:lineRule="exact"/>
              <w:ind w:left="108"/>
              <w:rPr>
                <w:sz w:val="20"/>
              </w:rPr>
            </w:pPr>
            <w:r>
              <w:rPr>
                <w:sz w:val="20"/>
              </w:rPr>
              <w:t>人力配置現況</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623" w:hRule="atLeast"/>
        </w:trPr>
        <w:tc>
          <w:tcPr>
            <w:tcW w:w="1560" w:type="dxa"/>
            <w:vMerge/>
            <w:tcBorders>
              <w:top w:val="nil"/>
            </w:tcBorders>
          </w:tcPr>
          <w:p>
            <w:pPr>
              <w:rPr>
                <w:sz w:val="2"/>
                <w:szCs w:val="2"/>
              </w:rPr>
            </w:pPr>
          </w:p>
        </w:tc>
        <w:tc>
          <w:tcPr>
            <w:tcW w:w="6097" w:type="dxa"/>
            <w:gridSpan w:val="2"/>
          </w:tcPr>
          <w:p>
            <w:pPr>
              <w:pStyle w:val="TableParagraph"/>
              <w:spacing w:before="158"/>
              <w:ind w:left="108"/>
              <w:rPr>
                <w:sz w:val="20"/>
              </w:rPr>
            </w:pPr>
            <w:r>
              <w:rPr>
                <w:sz w:val="20"/>
              </w:rPr>
              <w:t>工程實績說明(應提出近五年內非列為拒絕往來廠商之紀錄)。</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292" w:hRule="atLeast"/>
        </w:trPr>
        <w:tc>
          <w:tcPr>
            <w:tcW w:w="1560" w:type="dxa"/>
            <w:vMerge/>
            <w:tcBorders>
              <w:top w:val="nil"/>
            </w:tcBorders>
          </w:tcPr>
          <w:p>
            <w:pPr>
              <w:rPr>
                <w:sz w:val="2"/>
                <w:szCs w:val="2"/>
              </w:rPr>
            </w:pPr>
          </w:p>
        </w:tc>
        <w:tc>
          <w:tcPr>
            <w:tcW w:w="6097" w:type="dxa"/>
            <w:gridSpan w:val="2"/>
          </w:tcPr>
          <w:p>
            <w:pPr>
              <w:pStyle w:val="TableParagraph"/>
              <w:spacing w:line="272" w:lineRule="exact"/>
              <w:ind w:left="108"/>
              <w:rPr>
                <w:sz w:val="20"/>
              </w:rPr>
            </w:pPr>
            <w:r>
              <w:rPr>
                <w:sz w:val="20"/>
              </w:rPr>
              <w:t>公司財務狀況(應提出相關佐證資料)。</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631" w:hRule="atLeast"/>
        </w:trPr>
        <w:tc>
          <w:tcPr>
            <w:tcW w:w="1560" w:type="dxa"/>
            <w:vMerge/>
            <w:tcBorders>
              <w:top w:val="nil"/>
            </w:tcBorders>
          </w:tcPr>
          <w:p>
            <w:pPr>
              <w:rPr>
                <w:sz w:val="2"/>
                <w:szCs w:val="2"/>
              </w:rPr>
            </w:pPr>
          </w:p>
        </w:tc>
        <w:tc>
          <w:tcPr>
            <w:tcW w:w="6097" w:type="dxa"/>
            <w:gridSpan w:val="2"/>
          </w:tcPr>
          <w:p>
            <w:pPr>
              <w:pStyle w:val="TableParagraph"/>
              <w:spacing w:line="225" w:lineRule="auto" w:before="43"/>
              <w:ind w:left="108" w:right="178"/>
              <w:rPr>
                <w:sz w:val="20"/>
              </w:rPr>
            </w:pPr>
            <w:r>
              <w:rPr>
                <w:w w:val="95"/>
                <w:sz w:val="20"/>
              </w:rPr>
              <w:t>近五年內被查核紀錄、近五年金質獎獲獎情形、其他獲獎情形、相</w:t>
            </w:r>
            <w:r>
              <w:rPr>
                <w:spacing w:val="1"/>
                <w:w w:val="95"/>
                <w:sz w:val="20"/>
              </w:rPr>
              <w:t> </w:t>
            </w:r>
            <w:r>
              <w:rPr>
                <w:sz w:val="20"/>
              </w:rPr>
              <w:t>關懲處情形。</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935" w:hRule="atLeast"/>
        </w:trPr>
        <w:tc>
          <w:tcPr>
            <w:tcW w:w="1560" w:type="dxa"/>
          </w:tcPr>
          <w:p>
            <w:pPr>
              <w:pStyle w:val="TableParagraph"/>
              <w:spacing w:line="223" w:lineRule="auto" w:before="29"/>
              <w:ind w:left="119" w:right="105"/>
              <w:jc w:val="center"/>
              <w:rPr>
                <w:sz w:val="22"/>
              </w:rPr>
            </w:pPr>
            <w:r>
              <w:rPr>
                <w:spacing w:val="-1"/>
                <w:sz w:val="22"/>
              </w:rPr>
              <w:t>團隊組織及主要工作人員學</w:t>
            </w:r>
            <w:r>
              <w:rPr>
                <w:sz w:val="22"/>
              </w:rPr>
              <w:t>經歷</w:t>
            </w:r>
          </w:p>
        </w:tc>
        <w:tc>
          <w:tcPr>
            <w:tcW w:w="6097" w:type="dxa"/>
            <w:gridSpan w:val="2"/>
          </w:tcPr>
          <w:p>
            <w:pPr>
              <w:pStyle w:val="TableParagraph"/>
              <w:spacing w:before="3"/>
              <w:rPr>
                <w:sz w:val="14"/>
              </w:rPr>
            </w:pPr>
          </w:p>
          <w:p>
            <w:pPr>
              <w:pStyle w:val="TableParagraph"/>
              <w:spacing w:line="223" w:lineRule="auto"/>
              <w:ind w:left="146" w:right="139"/>
              <w:rPr>
                <w:sz w:val="20"/>
              </w:rPr>
            </w:pPr>
            <w:r>
              <w:rPr>
                <w:w w:val="95"/>
                <w:sz w:val="20"/>
              </w:rPr>
              <w:t>實際執行人員之經驗及專業能力，含人力配置計畫、專業證照佐證</w:t>
            </w:r>
            <w:r>
              <w:rPr>
                <w:spacing w:val="1"/>
                <w:w w:val="95"/>
                <w:sz w:val="20"/>
              </w:rPr>
              <w:t> </w:t>
            </w:r>
            <w:r>
              <w:rPr>
                <w:sz w:val="20"/>
              </w:rPr>
              <w:t>等。</w:t>
            </w:r>
          </w:p>
        </w:tc>
        <w:tc>
          <w:tcPr>
            <w:tcW w:w="991" w:type="dxa"/>
          </w:tcPr>
          <w:p>
            <w:pPr>
              <w:pStyle w:val="TableParagraph"/>
              <w:rPr>
                <w:sz w:val="21"/>
              </w:rPr>
            </w:pPr>
          </w:p>
          <w:p>
            <w:pPr>
              <w:pStyle w:val="TableParagraph"/>
              <w:ind w:left="336" w:right="323"/>
              <w:jc w:val="center"/>
              <w:rPr>
                <w:rFonts w:ascii="Times New Roman"/>
                <w:sz w:val="28"/>
              </w:rPr>
            </w:pPr>
            <w:r>
              <w:rPr>
                <w:rFonts w:ascii="Times New Roman"/>
                <w:sz w:val="28"/>
              </w:rPr>
              <w:t>20</w:t>
            </w:r>
          </w:p>
        </w:tc>
        <w:tc>
          <w:tcPr>
            <w:tcW w:w="2268" w:type="dxa"/>
          </w:tcPr>
          <w:p>
            <w:pPr>
              <w:pStyle w:val="TableParagraph"/>
              <w:rPr>
                <w:rFonts w:ascii="Times New Roman"/>
                <w:sz w:val="20"/>
              </w:rPr>
            </w:pPr>
          </w:p>
        </w:tc>
      </w:tr>
      <w:tr>
        <w:trPr>
          <w:trHeight w:val="623" w:hRule="atLeast"/>
        </w:trPr>
        <w:tc>
          <w:tcPr>
            <w:tcW w:w="1560" w:type="dxa"/>
            <w:vMerge w:val="restart"/>
          </w:tcPr>
          <w:p>
            <w:pPr>
              <w:pStyle w:val="TableParagraph"/>
              <w:spacing w:before="5"/>
              <w:rPr>
                <w:sz w:val="29"/>
              </w:rPr>
            </w:pPr>
          </w:p>
          <w:p>
            <w:pPr>
              <w:pStyle w:val="TableParagraph"/>
              <w:spacing w:line="223" w:lineRule="auto"/>
              <w:ind w:left="107" w:right="117"/>
              <w:rPr>
                <w:sz w:val="22"/>
              </w:rPr>
            </w:pPr>
            <w:r>
              <w:rPr>
                <w:sz w:val="22"/>
              </w:rPr>
              <w:t>工程組織管</w:t>
            </w:r>
            <w:r>
              <w:rPr>
                <w:spacing w:val="1"/>
                <w:sz w:val="22"/>
              </w:rPr>
              <w:t> </w:t>
            </w:r>
            <w:r>
              <w:rPr>
                <w:spacing w:val="-1"/>
                <w:sz w:val="22"/>
              </w:rPr>
              <w:t>理、施工及品</w:t>
            </w:r>
            <w:r>
              <w:rPr>
                <w:sz w:val="22"/>
              </w:rPr>
              <w:t>質執行能力</w:t>
            </w:r>
          </w:p>
        </w:tc>
        <w:tc>
          <w:tcPr>
            <w:tcW w:w="6097" w:type="dxa"/>
            <w:gridSpan w:val="2"/>
          </w:tcPr>
          <w:p>
            <w:pPr>
              <w:pStyle w:val="TableParagraph"/>
              <w:spacing w:line="223" w:lineRule="auto" w:before="43"/>
              <w:ind w:left="108" w:right="378"/>
              <w:rPr>
                <w:sz w:val="20"/>
              </w:rPr>
            </w:pPr>
            <w:r>
              <w:rPr>
                <w:w w:val="95"/>
                <w:sz w:val="20"/>
              </w:rPr>
              <w:t>施工規劃(例如:工區配置及動線、假設工程、工料來源及機具調</w:t>
            </w:r>
            <w:r>
              <w:rPr>
                <w:spacing w:val="1"/>
                <w:w w:val="95"/>
                <w:sz w:val="20"/>
              </w:rPr>
              <w:t> </w:t>
            </w:r>
            <w:r>
              <w:rPr>
                <w:sz w:val="20"/>
              </w:rPr>
              <w:t>度、現有植栽防護)。</w:t>
            </w:r>
          </w:p>
        </w:tc>
        <w:tc>
          <w:tcPr>
            <w:tcW w:w="991" w:type="dxa"/>
            <w:vMerge w:val="restart"/>
          </w:tcPr>
          <w:p>
            <w:pPr>
              <w:pStyle w:val="TableParagraph"/>
              <w:rPr>
                <w:sz w:val="30"/>
              </w:rPr>
            </w:pPr>
          </w:p>
          <w:p>
            <w:pPr>
              <w:pStyle w:val="TableParagraph"/>
              <w:spacing w:before="253"/>
              <w:ind w:left="335" w:right="324"/>
              <w:jc w:val="center"/>
              <w:rPr>
                <w:rFonts w:ascii="Times New Roman"/>
                <w:sz w:val="28"/>
              </w:rPr>
            </w:pPr>
            <w:r>
              <w:rPr>
                <w:rFonts w:ascii="Times New Roman"/>
                <w:sz w:val="28"/>
              </w:rPr>
              <w:t>20</w:t>
            </w:r>
          </w:p>
        </w:tc>
        <w:tc>
          <w:tcPr>
            <w:tcW w:w="2268" w:type="dxa"/>
            <w:vMerge w:val="restart"/>
          </w:tcPr>
          <w:p>
            <w:pPr>
              <w:pStyle w:val="TableParagraph"/>
              <w:rPr>
                <w:rFonts w:ascii="Times New Roman"/>
                <w:sz w:val="20"/>
              </w:rPr>
            </w:pPr>
          </w:p>
        </w:tc>
      </w:tr>
      <w:tr>
        <w:trPr>
          <w:trHeight w:val="426" w:hRule="atLeast"/>
        </w:trPr>
        <w:tc>
          <w:tcPr>
            <w:tcW w:w="1560" w:type="dxa"/>
            <w:vMerge/>
            <w:tcBorders>
              <w:top w:val="nil"/>
            </w:tcBorders>
          </w:tcPr>
          <w:p>
            <w:pPr>
              <w:rPr>
                <w:sz w:val="2"/>
                <w:szCs w:val="2"/>
              </w:rPr>
            </w:pPr>
          </w:p>
        </w:tc>
        <w:tc>
          <w:tcPr>
            <w:tcW w:w="6097" w:type="dxa"/>
            <w:gridSpan w:val="2"/>
          </w:tcPr>
          <w:p>
            <w:pPr>
              <w:pStyle w:val="TableParagraph"/>
              <w:spacing w:before="60"/>
              <w:ind w:left="108"/>
              <w:rPr>
                <w:sz w:val="20"/>
              </w:rPr>
            </w:pPr>
            <w:r>
              <w:rPr>
                <w:sz w:val="20"/>
              </w:rPr>
              <w:t>關鍵課題分析及因應措施。</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626" w:hRule="atLeast"/>
        </w:trPr>
        <w:tc>
          <w:tcPr>
            <w:tcW w:w="1560" w:type="dxa"/>
            <w:vMerge/>
            <w:tcBorders>
              <w:top w:val="nil"/>
            </w:tcBorders>
          </w:tcPr>
          <w:p>
            <w:pPr>
              <w:rPr>
                <w:sz w:val="2"/>
                <w:szCs w:val="2"/>
              </w:rPr>
            </w:pPr>
          </w:p>
        </w:tc>
        <w:tc>
          <w:tcPr>
            <w:tcW w:w="6097" w:type="dxa"/>
            <w:gridSpan w:val="2"/>
          </w:tcPr>
          <w:p>
            <w:pPr>
              <w:pStyle w:val="TableParagraph"/>
              <w:spacing w:before="158"/>
              <w:ind w:left="108"/>
              <w:rPr>
                <w:sz w:val="20"/>
              </w:rPr>
            </w:pPr>
            <w:r>
              <w:rPr>
                <w:sz w:val="20"/>
              </w:rPr>
              <w:t>工程進度、工期檢討及縮短工期措施。</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623" w:hRule="atLeast"/>
        </w:trPr>
        <w:tc>
          <w:tcPr>
            <w:tcW w:w="1560" w:type="dxa"/>
            <w:vMerge w:val="restart"/>
          </w:tcPr>
          <w:p>
            <w:pPr>
              <w:pStyle w:val="TableParagraph"/>
              <w:spacing w:before="12"/>
              <w:rPr>
                <w:sz w:val="23"/>
              </w:rPr>
            </w:pPr>
          </w:p>
          <w:p>
            <w:pPr>
              <w:pStyle w:val="TableParagraph"/>
              <w:spacing w:line="223" w:lineRule="auto"/>
              <w:ind w:left="559" w:right="105" w:hanging="440"/>
              <w:rPr>
                <w:sz w:val="22"/>
              </w:rPr>
            </w:pPr>
            <w:r>
              <w:rPr>
                <w:spacing w:val="-1"/>
                <w:sz w:val="22"/>
              </w:rPr>
              <w:t>職業安全衛生</w:t>
            </w:r>
            <w:r>
              <w:rPr>
                <w:sz w:val="22"/>
              </w:rPr>
              <w:t>管理</w:t>
            </w:r>
          </w:p>
        </w:tc>
        <w:tc>
          <w:tcPr>
            <w:tcW w:w="6097" w:type="dxa"/>
            <w:gridSpan w:val="2"/>
          </w:tcPr>
          <w:p>
            <w:pPr>
              <w:pStyle w:val="TableParagraph"/>
              <w:spacing w:line="223" w:lineRule="auto" w:before="43"/>
              <w:ind w:left="108" w:right="178"/>
              <w:rPr>
                <w:sz w:val="20"/>
              </w:rPr>
            </w:pPr>
            <w:r>
              <w:rPr>
                <w:w w:val="95"/>
                <w:sz w:val="20"/>
              </w:rPr>
              <w:t>職業安全衛生管理制度，如政策、組織人力及資源、計畫實施與落</w:t>
            </w:r>
            <w:r>
              <w:rPr>
                <w:spacing w:val="1"/>
                <w:w w:val="95"/>
                <w:sz w:val="20"/>
              </w:rPr>
              <w:t> </w:t>
            </w:r>
            <w:r>
              <w:rPr>
                <w:sz w:val="20"/>
              </w:rPr>
              <w:t>實及管理方式。</w:t>
            </w:r>
          </w:p>
        </w:tc>
        <w:tc>
          <w:tcPr>
            <w:tcW w:w="991" w:type="dxa"/>
            <w:vMerge w:val="restart"/>
          </w:tcPr>
          <w:p>
            <w:pPr>
              <w:pStyle w:val="TableParagraph"/>
              <w:spacing w:before="7"/>
              <w:rPr>
                <w:sz w:val="32"/>
              </w:rPr>
            </w:pPr>
          </w:p>
          <w:p>
            <w:pPr>
              <w:pStyle w:val="TableParagraph"/>
              <w:ind w:left="335" w:right="324"/>
              <w:jc w:val="center"/>
              <w:rPr>
                <w:rFonts w:ascii="Times New Roman"/>
                <w:sz w:val="28"/>
              </w:rPr>
            </w:pPr>
            <w:r>
              <w:rPr>
                <w:rFonts w:ascii="Times New Roman"/>
                <w:sz w:val="28"/>
              </w:rPr>
              <w:t>15</w:t>
            </w:r>
          </w:p>
        </w:tc>
        <w:tc>
          <w:tcPr>
            <w:tcW w:w="2268" w:type="dxa"/>
            <w:vMerge w:val="restart"/>
          </w:tcPr>
          <w:p>
            <w:pPr>
              <w:pStyle w:val="TableParagraph"/>
              <w:rPr>
                <w:rFonts w:ascii="Times New Roman"/>
                <w:sz w:val="20"/>
              </w:rPr>
            </w:pPr>
          </w:p>
        </w:tc>
      </w:tr>
      <w:tr>
        <w:trPr>
          <w:trHeight w:val="624" w:hRule="atLeast"/>
        </w:trPr>
        <w:tc>
          <w:tcPr>
            <w:tcW w:w="1560" w:type="dxa"/>
            <w:vMerge/>
            <w:tcBorders>
              <w:top w:val="nil"/>
            </w:tcBorders>
          </w:tcPr>
          <w:p>
            <w:pPr>
              <w:rPr>
                <w:sz w:val="2"/>
                <w:szCs w:val="2"/>
              </w:rPr>
            </w:pPr>
          </w:p>
        </w:tc>
        <w:tc>
          <w:tcPr>
            <w:tcW w:w="6097" w:type="dxa"/>
            <w:gridSpan w:val="2"/>
          </w:tcPr>
          <w:p>
            <w:pPr>
              <w:pStyle w:val="TableParagraph"/>
              <w:spacing w:line="223" w:lineRule="auto" w:before="43"/>
              <w:ind w:left="108" w:right="224"/>
              <w:rPr>
                <w:sz w:val="20"/>
              </w:rPr>
            </w:pPr>
            <w:r>
              <w:rPr>
                <w:w w:val="95"/>
                <w:sz w:val="20"/>
              </w:rPr>
              <w:t>相關職安事績等(如金安獎等相關獲獎、TOSHMS、OHSAS、ISO</w:t>
            </w:r>
            <w:r>
              <w:rPr>
                <w:spacing w:val="28"/>
                <w:w w:val="95"/>
                <w:sz w:val="20"/>
              </w:rPr>
              <w:t> 認證</w:t>
            </w:r>
            <w:r>
              <w:rPr>
                <w:sz w:val="20"/>
              </w:rPr>
              <w:t>等)</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782" w:hRule="atLeast"/>
        </w:trPr>
        <w:tc>
          <w:tcPr>
            <w:tcW w:w="1560" w:type="dxa"/>
          </w:tcPr>
          <w:p>
            <w:pPr>
              <w:pStyle w:val="TableParagraph"/>
              <w:spacing w:line="223" w:lineRule="auto" w:before="96"/>
              <w:ind w:left="230" w:right="105" w:hanging="111"/>
              <w:rPr>
                <w:sz w:val="22"/>
              </w:rPr>
            </w:pPr>
            <w:r>
              <w:rPr>
                <w:spacing w:val="-1"/>
                <w:sz w:val="22"/>
              </w:rPr>
              <w:t>廠商承諾事項</w:t>
            </w:r>
            <w:r>
              <w:rPr>
                <w:sz w:val="22"/>
              </w:rPr>
              <w:t>或回饋措施</w:t>
            </w:r>
          </w:p>
        </w:tc>
        <w:tc>
          <w:tcPr>
            <w:tcW w:w="6097" w:type="dxa"/>
            <w:gridSpan w:val="2"/>
          </w:tcPr>
          <w:p>
            <w:pPr>
              <w:pStyle w:val="TableParagraph"/>
              <w:spacing w:line="225" w:lineRule="auto"/>
              <w:ind w:left="108" w:right="178"/>
              <w:rPr>
                <w:sz w:val="20"/>
              </w:rPr>
            </w:pPr>
            <w:r>
              <w:rPr>
                <w:sz w:val="20"/>
              </w:rPr>
              <w:t>例</w:t>
            </w:r>
            <w:r>
              <w:rPr>
                <w:rFonts w:ascii="Times New Roman" w:eastAsia="Times New Roman"/>
                <w:sz w:val="20"/>
              </w:rPr>
              <w:t>:</w:t>
            </w:r>
            <w:r>
              <w:rPr>
                <w:sz w:val="20"/>
              </w:rPr>
              <w:t>主要材料設備品牌、</w:t>
            </w:r>
            <w:r>
              <w:rPr>
                <w:rFonts w:ascii="Times New Roman" w:eastAsia="Times New Roman"/>
                <w:sz w:val="20"/>
              </w:rPr>
              <w:t>BIM</w:t>
            </w:r>
            <w:r>
              <w:rPr>
                <w:rFonts w:ascii="Times New Roman" w:eastAsia="Times New Roman"/>
                <w:spacing w:val="-1"/>
                <w:sz w:val="20"/>
              </w:rPr>
              <w:t> </w:t>
            </w:r>
            <w:r>
              <w:rPr>
                <w:sz w:val="20"/>
              </w:rPr>
              <w:t>執行計畫、參加金安獎或公共工程金</w:t>
            </w:r>
            <w:r>
              <w:rPr>
                <w:w w:val="95"/>
                <w:sz w:val="20"/>
              </w:rPr>
              <w:t>質獎計畫、縮時攝影、工程影像紀錄、縮短工期可行性或其他加值</w:t>
            </w:r>
          </w:p>
          <w:p>
            <w:pPr>
              <w:pStyle w:val="TableParagraph"/>
              <w:spacing w:line="248" w:lineRule="exact"/>
              <w:ind w:left="108"/>
              <w:rPr>
                <w:sz w:val="20"/>
              </w:rPr>
            </w:pPr>
            <w:r>
              <w:rPr>
                <w:sz w:val="20"/>
              </w:rPr>
              <w:t>服務等。</w:t>
            </w:r>
          </w:p>
        </w:tc>
        <w:tc>
          <w:tcPr>
            <w:tcW w:w="991" w:type="dxa"/>
          </w:tcPr>
          <w:p>
            <w:pPr>
              <w:pStyle w:val="TableParagraph"/>
              <w:spacing w:before="217"/>
              <w:ind w:left="336" w:right="323"/>
              <w:jc w:val="center"/>
              <w:rPr>
                <w:rFonts w:ascii="Times New Roman"/>
                <w:sz w:val="28"/>
              </w:rPr>
            </w:pPr>
            <w:r>
              <w:rPr>
                <w:rFonts w:ascii="Times New Roman"/>
                <w:sz w:val="28"/>
              </w:rPr>
              <w:t>10</w:t>
            </w:r>
          </w:p>
        </w:tc>
        <w:tc>
          <w:tcPr>
            <w:tcW w:w="2268" w:type="dxa"/>
          </w:tcPr>
          <w:p>
            <w:pPr>
              <w:pStyle w:val="TableParagraph"/>
              <w:rPr>
                <w:rFonts w:ascii="Times New Roman"/>
                <w:sz w:val="20"/>
              </w:rPr>
            </w:pPr>
          </w:p>
        </w:tc>
      </w:tr>
      <w:tr>
        <w:trPr>
          <w:trHeight w:val="520" w:hRule="atLeast"/>
        </w:trPr>
        <w:tc>
          <w:tcPr>
            <w:tcW w:w="1560" w:type="dxa"/>
            <w:vMerge w:val="restart"/>
          </w:tcPr>
          <w:p>
            <w:pPr>
              <w:pStyle w:val="TableParagraph"/>
              <w:spacing w:before="5"/>
              <w:rPr>
                <w:sz w:val="16"/>
              </w:rPr>
            </w:pPr>
          </w:p>
          <w:p>
            <w:pPr>
              <w:pStyle w:val="TableParagraph"/>
              <w:spacing w:line="223" w:lineRule="auto"/>
              <w:ind w:left="112" w:right="100" w:hanging="1"/>
              <w:jc w:val="center"/>
              <w:rPr>
                <w:sz w:val="24"/>
              </w:rPr>
            </w:pPr>
            <w:r>
              <w:rPr>
                <w:sz w:val="24"/>
              </w:rPr>
              <w:t>廠商企業社</w:t>
            </w:r>
            <w:r>
              <w:rPr>
                <w:spacing w:val="-1"/>
                <w:sz w:val="24"/>
              </w:rPr>
              <w:t>會責任</w:t>
            </w:r>
            <w:r>
              <w:rPr>
                <w:rFonts w:ascii="Times New Roman" w:eastAsia="Times New Roman"/>
                <w:sz w:val="24"/>
              </w:rPr>
              <w:t>(CSR)</w:t>
            </w:r>
            <w:r>
              <w:rPr>
                <w:rFonts w:ascii="Times New Roman" w:eastAsia="Times New Roman"/>
                <w:spacing w:val="-57"/>
                <w:sz w:val="24"/>
              </w:rPr>
              <w:t> </w:t>
            </w:r>
            <w:r>
              <w:rPr>
                <w:sz w:val="24"/>
              </w:rPr>
              <w:t>指標</w:t>
            </w:r>
          </w:p>
        </w:tc>
        <w:tc>
          <w:tcPr>
            <w:tcW w:w="6097" w:type="dxa"/>
            <w:gridSpan w:val="2"/>
          </w:tcPr>
          <w:p>
            <w:pPr>
              <w:pStyle w:val="TableParagraph"/>
              <w:spacing w:line="245" w:lineRule="exact"/>
              <w:ind w:left="108"/>
              <w:rPr>
                <w:sz w:val="20"/>
              </w:rPr>
            </w:pPr>
            <w:r>
              <w:rPr>
                <w:sz w:val="20"/>
              </w:rPr>
              <w:t>近一年內曾替員工普遍性加薪，配合勞動部公告之基本工資依法調</w:t>
            </w:r>
          </w:p>
          <w:p>
            <w:pPr>
              <w:pStyle w:val="TableParagraph"/>
              <w:spacing w:line="255" w:lineRule="exact"/>
              <w:ind w:left="108"/>
              <w:rPr>
                <w:sz w:val="20"/>
              </w:rPr>
            </w:pPr>
            <w:r>
              <w:rPr>
                <w:sz w:val="20"/>
              </w:rPr>
              <w:t>升者非屬加薪。</w:t>
            </w:r>
          </w:p>
        </w:tc>
        <w:tc>
          <w:tcPr>
            <w:tcW w:w="991" w:type="dxa"/>
            <w:vMerge w:val="restart"/>
          </w:tcPr>
          <w:p>
            <w:pPr>
              <w:pStyle w:val="TableParagraph"/>
              <w:rPr>
                <w:sz w:val="38"/>
              </w:rPr>
            </w:pPr>
          </w:p>
          <w:p>
            <w:pPr>
              <w:pStyle w:val="TableParagraph"/>
              <w:ind w:left="9"/>
              <w:jc w:val="center"/>
              <w:rPr>
                <w:rFonts w:ascii="Times New Roman"/>
                <w:sz w:val="28"/>
              </w:rPr>
            </w:pPr>
            <w:r>
              <w:rPr>
                <w:rFonts w:ascii="Times New Roman"/>
                <w:w w:val="100"/>
                <w:sz w:val="28"/>
              </w:rPr>
              <w:t>5</w:t>
            </w:r>
          </w:p>
        </w:tc>
        <w:tc>
          <w:tcPr>
            <w:tcW w:w="2268" w:type="dxa"/>
            <w:vMerge w:val="restart"/>
          </w:tcPr>
          <w:p>
            <w:pPr>
              <w:pStyle w:val="TableParagraph"/>
              <w:rPr>
                <w:rFonts w:ascii="Times New Roman"/>
                <w:sz w:val="20"/>
              </w:rPr>
            </w:pPr>
          </w:p>
        </w:tc>
      </w:tr>
      <w:tr>
        <w:trPr>
          <w:trHeight w:val="520" w:hRule="atLeast"/>
        </w:trPr>
        <w:tc>
          <w:tcPr>
            <w:tcW w:w="1560" w:type="dxa"/>
            <w:vMerge/>
            <w:tcBorders>
              <w:top w:val="nil"/>
            </w:tcBorders>
          </w:tcPr>
          <w:p>
            <w:pPr>
              <w:rPr>
                <w:sz w:val="2"/>
                <w:szCs w:val="2"/>
              </w:rPr>
            </w:pPr>
          </w:p>
        </w:tc>
        <w:tc>
          <w:tcPr>
            <w:tcW w:w="6097" w:type="dxa"/>
            <w:gridSpan w:val="2"/>
          </w:tcPr>
          <w:p>
            <w:pPr>
              <w:pStyle w:val="TableParagraph"/>
              <w:spacing w:line="245" w:lineRule="exact"/>
              <w:ind w:left="108"/>
              <w:rPr>
                <w:sz w:val="20"/>
              </w:rPr>
            </w:pPr>
            <w:r>
              <w:rPr>
                <w:sz w:val="20"/>
              </w:rPr>
              <w:t>於投標文件載明後續履約期間給與全職從事本採購案之員工薪資</w:t>
            </w:r>
          </w:p>
          <w:p>
            <w:pPr>
              <w:pStyle w:val="TableParagraph"/>
              <w:spacing w:line="255" w:lineRule="exact"/>
              <w:ind w:left="108"/>
              <w:rPr>
                <w:sz w:val="20"/>
              </w:rPr>
            </w:pPr>
            <w:r>
              <w:rPr>
                <w:rFonts w:ascii="Times New Roman" w:eastAsia="Times New Roman"/>
                <w:sz w:val="20"/>
              </w:rPr>
              <w:t>(</w:t>
            </w:r>
            <w:r>
              <w:rPr>
                <w:sz w:val="20"/>
              </w:rPr>
              <w:t>不含加班費</w:t>
            </w:r>
            <w:r>
              <w:rPr>
                <w:rFonts w:ascii="Times New Roman" w:eastAsia="Times New Roman"/>
                <w:sz w:val="20"/>
              </w:rPr>
              <w:t>)</w:t>
            </w:r>
            <w:r>
              <w:rPr>
                <w:sz w:val="20"/>
              </w:rPr>
              <w:t>至少新臺幣（下同）</w:t>
            </w:r>
            <w:r>
              <w:rPr>
                <w:rFonts w:ascii="Times New Roman" w:eastAsia="Times New Roman"/>
                <w:sz w:val="20"/>
              </w:rPr>
              <w:t>3</w:t>
            </w:r>
            <w:r>
              <w:rPr>
                <w:rFonts w:ascii="Times New Roman" w:eastAsia="Times New Roman"/>
                <w:spacing w:val="-3"/>
                <w:sz w:val="20"/>
              </w:rPr>
              <w:t> </w:t>
            </w:r>
            <w:r>
              <w:rPr>
                <w:sz w:val="20"/>
              </w:rPr>
              <w:t>萬元以上。</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352" w:hRule="atLeast"/>
        </w:trPr>
        <w:tc>
          <w:tcPr>
            <w:tcW w:w="1560" w:type="dxa"/>
            <w:vMerge/>
            <w:tcBorders>
              <w:top w:val="nil"/>
            </w:tcBorders>
          </w:tcPr>
          <w:p>
            <w:pPr>
              <w:rPr>
                <w:sz w:val="2"/>
                <w:szCs w:val="2"/>
              </w:rPr>
            </w:pPr>
          </w:p>
        </w:tc>
        <w:tc>
          <w:tcPr>
            <w:tcW w:w="6097" w:type="dxa"/>
            <w:gridSpan w:val="2"/>
          </w:tcPr>
          <w:p>
            <w:pPr>
              <w:pStyle w:val="TableParagraph"/>
              <w:spacing w:before="21"/>
              <w:ind w:left="108"/>
              <w:rPr>
                <w:sz w:val="20"/>
              </w:rPr>
            </w:pPr>
            <w:r>
              <w:rPr>
                <w:sz w:val="20"/>
              </w:rPr>
              <w:t>辦理綠色採購。</w:t>
            </w:r>
          </w:p>
        </w:tc>
        <w:tc>
          <w:tcPr>
            <w:tcW w:w="991" w:type="dxa"/>
            <w:vMerge/>
            <w:tcBorders>
              <w:top w:val="nil"/>
            </w:tcBorders>
          </w:tcPr>
          <w:p>
            <w:pPr>
              <w:rPr>
                <w:sz w:val="2"/>
                <w:szCs w:val="2"/>
              </w:rPr>
            </w:pPr>
          </w:p>
        </w:tc>
        <w:tc>
          <w:tcPr>
            <w:tcW w:w="2268" w:type="dxa"/>
            <w:vMerge/>
            <w:tcBorders>
              <w:top w:val="nil"/>
            </w:tcBorders>
          </w:tcPr>
          <w:p>
            <w:pPr>
              <w:rPr>
                <w:sz w:val="2"/>
                <w:szCs w:val="2"/>
              </w:rPr>
            </w:pPr>
          </w:p>
        </w:tc>
      </w:tr>
      <w:tr>
        <w:trPr>
          <w:trHeight w:val="429" w:hRule="atLeast"/>
        </w:trPr>
        <w:tc>
          <w:tcPr>
            <w:tcW w:w="1560" w:type="dxa"/>
          </w:tcPr>
          <w:p>
            <w:pPr>
              <w:pStyle w:val="TableParagraph"/>
              <w:spacing w:before="47"/>
              <w:ind w:left="230"/>
              <w:rPr>
                <w:sz w:val="22"/>
              </w:rPr>
            </w:pPr>
            <w:r>
              <w:rPr>
                <w:sz w:val="22"/>
              </w:rPr>
              <w:t>簡報及詢答</w:t>
            </w:r>
          </w:p>
        </w:tc>
        <w:tc>
          <w:tcPr>
            <w:tcW w:w="6097" w:type="dxa"/>
            <w:gridSpan w:val="2"/>
          </w:tcPr>
          <w:p>
            <w:pPr>
              <w:pStyle w:val="TableParagraph"/>
              <w:rPr>
                <w:rFonts w:ascii="Times New Roman"/>
                <w:sz w:val="20"/>
              </w:rPr>
            </w:pPr>
          </w:p>
        </w:tc>
        <w:tc>
          <w:tcPr>
            <w:tcW w:w="991" w:type="dxa"/>
          </w:tcPr>
          <w:p>
            <w:pPr>
              <w:pStyle w:val="TableParagraph"/>
              <w:spacing w:before="39"/>
              <w:ind w:left="336" w:right="323"/>
              <w:jc w:val="center"/>
              <w:rPr>
                <w:rFonts w:ascii="Times New Roman"/>
                <w:sz w:val="28"/>
              </w:rPr>
            </w:pPr>
            <w:r>
              <w:rPr>
                <w:rFonts w:ascii="Times New Roman"/>
                <w:sz w:val="28"/>
              </w:rPr>
              <w:t>10</w:t>
            </w:r>
          </w:p>
        </w:tc>
        <w:tc>
          <w:tcPr>
            <w:tcW w:w="2268" w:type="dxa"/>
          </w:tcPr>
          <w:p>
            <w:pPr>
              <w:pStyle w:val="TableParagraph"/>
              <w:rPr>
                <w:rFonts w:ascii="Times New Roman"/>
                <w:sz w:val="20"/>
              </w:rPr>
            </w:pPr>
          </w:p>
        </w:tc>
      </w:tr>
      <w:tr>
        <w:trPr>
          <w:trHeight w:val="451" w:hRule="atLeast"/>
        </w:trPr>
        <w:tc>
          <w:tcPr>
            <w:tcW w:w="8648" w:type="dxa"/>
            <w:gridSpan w:val="4"/>
          </w:tcPr>
          <w:p>
            <w:pPr>
              <w:pStyle w:val="TableParagraph"/>
              <w:spacing w:before="44"/>
              <w:ind w:left="4074" w:right="4066"/>
              <w:jc w:val="center"/>
              <w:rPr>
                <w:b/>
                <w:sz w:val="24"/>
              </w:rPr>
            </w:pPr>
            <w:r>
              <w:rPr>
                <w:b/>
                <w:w w:val="95"/>
                <w:sz w:val="24"/>
              </w:rPr>
              <w:t>合計</w:t>
            </w:r>
          </w:p>
        </w:tc>
        <w:tc>
          <w:tcPr>
            <w:tcW w:w="2268" w:type="dxa"/>
          </w:tcPr>
          <w:p>
            <w:pPr>
              <w:pStyle w:val="TableParagraph"/>
              <w:rPr>
                <w:rFonts w:ascii="Times New Roman"/>
                <w:sz w:val="20"/>
              </w:rPr>
            </w:pPr>
          </w:p>
        </w:tc>
      </w:tr>
      <w:tr>
        <w:trPr>
          <w:trHeight w:val="719" w:hRule="atLeast"/>
        </w:trPr>
        <w:tc>
          <w:tcPr>
            <w:tcW w:w="4095" w:type="dxa"/>
            <w:gridSpan w:val="2"/>
          </w:tcPr>
          <w:p>
            <w:pPr>
              <w:pStyle w:val="TableParagraph"/>
              <w:spacing w:before="150"/>
              <w:ind w:left="1205"/>
              <w:rPr>
                <w:b/>
                <w:sz w:val="28"/>
              </w:rPr>
            </w:pPr>
            <w:r>
              <w:rPr>
                <w:b/>
                <w:sz w:val="28"/>
              </w:rPr>
              <w:t>審查委員意見</w:t>
            </w:r>
          </w:p>
        </w:tc>
        <w:tc>
          <w:tcPr>
            <w:tcW w:w="6821" w:type="dxa"/>
            <w:gridSpan w:val="3"/>
          </w:tcPr>
          <w:p>
            <w:pPr>
              <w:pStyle w:val="TableParagraph"/>
              <w:rPr>
                <w:rFonts w:ascii="Times New Roman"/>
                <w:sz w:val="20"/>
              </w:rPr>
            </w:pPr>
          </w:p>
        </w:tc>
      </w:tr>
    </w:tbl>
    <w:p>
      <w:pPr>
        <w:spacing w:line="246" w:lineRule="exact" w:before="0"/>
        <w:ind w:left="1398" w:right="0" w:firstLine="0"/>
        <w:jc w:val="left"/>
        <w:rPr>
          <w:sz w:val="20"/>
        </w:rPr>
      </w:pPr>
      <w:r>
        <w:rPr>
          <w:sz w:val="20"/>
        </w:rPr>
        <w:t>說明:</w:t>
      </w:r>
    </w:p>
    <w:p>
      <w:pPr>
        <w:pStyle w:val="ListParagraph"/>
        <w:numPr>
          <w:ilvl w:val="0"/>
          <w:numId w:val="13"/>
        </w:numPr>
        <w:tabs>
          <w:tab w:pos="1877" w:val="left" w:leader="none"/>
          <w:tab w:pos="1878" w:val="left" w:leader="none"/>
        </w:tabs>
        <w:spacing w:line="240" w:lineRule="exact" w:before="0" w:after="0"/>
        <w:ind w:left="1878" w:right="0" w:hanging="480"/>
        <w:jc w:val="left"/>
        <w:rPr>
          <w:sz w:val="20"/>
        </w:rPr>
      </w:pPr>
      <w:r>
        <w:rPr>
          <w:b/>
          <w:sz w:val="20"/>
        </w:rPr>
        <w:t>合計分數</w:t>
      </w:r>
      <w:r>
        <w:rPr>
          <w:sz w:val="20"/>
        </w:rPr>
        <w:t>高於【90.0】分或低於【70.0】分，請委員於審查意見欄中書明評分理由。</w:t>
      </w:r>
    </w:p>
    <w:p>
      <w:pPr>
        <w:pStyle w:val="ListParagraph"/>
        <w:numPr>
          <w:ilvl w:val="0"/>
          <w:numId w:val="13"/>
        </w:numPr>
        <w:tabs>
          <w:tab w:pos="1877" w:val="left" w:leader="none"/>
          <w:tab w:pos="1878" w:val="left" w:leader="none"/>
        </w:tabs>
        <w:spacing w:line="240" w:lineRule="exact" w:before="0" w:after="0"/>
        <w:ind w:left="1878" w:right="0" w:hanging="480"/>
        <w:jc w:val="left"/>
        <w:rPr>
          <w:sz w:val="20"/>
        </w:rPr>
      </w:pPr>
      <w:r>
        <w:rPr>
          <w:sz w:val="20"/>
        </w:rPr>
        <w:t>本表經審查委員簽名密封後交由工作小組統計於審查評分總表。</w:t>
      </w:r>
    </w:p>
    <w:p>
      <w:pPr>
        <w:pStyle w:val="ListParagraph"/>
        <w:numPr>
          <w:ilvl w:val="0"/>
          <w:numId w:val="13"/>
        </w:numPr>
        <w:tabs>
          <w:tab w:pos="1877" w:val="left" w:leader="none"/>
          <w:tab w:pos="1878" w:val="left" w:leader="none"/>
        </w:tabs>
        <w:spacing w:line="260" w:lineRule="exact" w:before="0" w:after="0"/>
        <w:ind w:left="1878" w:right="0" w:hanging="480"/>
        <w:jc w:val="left"/>
        <w:rPr>
          <w:sz w:val="20"/>
        </w:rPr>
      </w:pPr>
      <w:r>
        <w:rPr>
          <w:sz w:val="20"/>
        </w:rPr>
        <w:t>本表未盡事宜，由出席委員提交召集人另行議定之。</w:t>
      </w:r>
    </w:p>
    <w:p>
      <w:pPr>
        <w:pStyle w:val="Heading1"/>
        <w:spacing w:before="132"/>
        <w:ind w:left="2106" w:right="372"/>
      </w:pPr>
      <w:r>
        <w:rPr/>
        <w:pict>
          <v:rect style="position:absolute;margin-left:391.630005pt;margin-top:23.000031pt;width:132.980pt;height:.71997pt;mso-position-horizontal-relative:page;mso-position-vertical-relative:paragraph;z-index:15728640" id="docshape4" filled="true" fillcolor="#000000" stroked="false">
            <v:fill type="solid"/>
            <w10:wrap type="none"/>
          </v:rect>
        </w:pict>
      </w:r>
      <w:r>
        <w:rPr/>
        <w:t>審查委員簽名：</w:t>
      </w:r>
    </w:p>
    <w:p>
      <w:pPr>
        <w:pStyle w:val="BodyText"/>
        <w:spacing w:before="12"/>
        <w:ind w:left="0"/>
        <w:rPr>
          <w:sz w:val="8"/>
        </w:rPr>
      </w:pPr>
    </w:p>
    <w:p>
      <w:pPr>
        <w:pStyle w:val="BodyText"/>
        <w:spacing w:before="52"/>
        <w:ind w:left="0" w:right="1072"/>
        <w:jc w:val="right"/>
      </w:pPr>
      <w:r>
        <w:rPr/>
        <w:t>簽章後彌封</w:t>
      </w:r>
    </w:p>
    <w:p>
      <w:pPr>
        <w:spacing w:before="157"/>
        <w:ind w:left="1819" w:right="1496" w:firstLine="0"/>
        <w:jc w:val="center"/>
        <w:rPr>
          <w:rFonts w:ascii="Times New Roman"/>
          <w:sz w:val="20"/>
        </w:rPr>
      </w:pPr>
      <w:r>
        <w:rPr>
          <w:rFonts w:ascii="Times New Roman"/>
          <w:sz w:val="20"/>
        </w:rPr>
        <w:t>12</w:t>
      </w:r>
    </w:p>
    <w:p>
      <w:pPr>
        <w:spacing w:after="0"/>
        <w:jc w:val="center"/>
        <w:rPr>
          <w:rFonts w:ascii="Times New Roman"/>
          <w:sz w:val="20"/>
        </w:rPr>
        <w:sectPr>
          <w:pgSz w:w="11910" w:h="16850"/>
          <w:pgMar w:top="820" w:bottom="0" w:left="400" w:right="340"/>
        </w:sectPr>
      </w:pPr>
    </w:p>
    <w:p>
      <w:pPr>
        <w:pStyle w:val="Heading1"/>
        <w:spacing w:line="223" w:lineRule="auto"/>
        <w:ind w:left="3606" w:right="1638" w:hanging="1643"/>
        <w:jc w:val="left"/>
      </w:pPr>
      <w:r>
        <w:rPr/>
        <w:t>【國際獸醫防疫人才培訓中心暨獸醫教學醫院大樓新建工程】評分及格最低標審查作業審查評分總表</w:t>
      </w:r>
    </w:p>
    <w:p>
      <w:pPr>
        <w:pStyle w:val="BodyText"/>
        <w:tabs>
          <w:tab w:pos="8892" w:val="left" w:leader="none"/>
          <w:tab w:pos="9372" w:val="left" w:leader="none"/>
          <w:tab w:pos="9852" w:val="left" w:leader="none"/>
        </w:tabs>
        <w:spacing w:before="7" w:after="13"/>
        <w:ind w:left="7331"/>
      </w:pPr>
      <w:r>
        <w:rPr/>
        <w:pict>
          <v:line style="position:absolute;mso-position-horizontal-relative:page;mso-position-vertical-relative:paragraph;z-index:-16363008" from="52.32pt,94.31002pt" to="147.860pt,130.19002pt" stroked="true" strokeweight=".48pt" strokecolor="#000000">
            <v:stroke dashstyle="solid"/>
            <w10:wrap type="none"/>
          </v:line>
        </w:pict>
      </w:r>
      <w:r>
        <w:rPr/>
        <w:t>審查日期：</w:t>
        <w:tab/>
        <w:t>年</w:t>
        <w:tab/>
        <w:t>月</w:t>
        <w:tab/>
        <w:t>日</w:t>
      </w:r>
    </w:p>
    <w:tbl>
      <w:tblPr>
        <w:tblW w:w="0" w:type="auto"/>
        <w:jc w:val="left"/>
        <w:tblInd w:w="6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91"/>
        <w:gridCol w:w="721"/>
        <w:gridCol w:w="2668"/>
        <w:gridCol w:w="521"/>
        <w:gridCol w:w="521"/>
        <w:gridCol w:w="4579"/>
      </w:tblGrid>
      <w:tr>
        <w:trPr>
          <w:trHeight w:val="721" w:hRule="atLeast"/>
        </w:trPr>
        <w:tc>
          <w:tcPr>
            <w:tcW w:w="1912" w:type="dxa"/>
            <w:gridSpan w:val="2"/>
          </w:tcPr>
          <w:p>
            <w:pPr>
              <w:pStyle w:val="TableParagraph"/>
              <w:spacing w:before="166"/>
              <w:ind w:left="395"/>
              <w:rPr>
                <w:sz w:val="28"/>
              </w:rPr>
            </w:pPr>
            <w:r>
              <w:rPr>
                <w:sz w:val="28"/>
              </w:rPr>
              <w:t>廠商編號</w:t>
            </w:r>
          </w:p>
        </w:tc>
        <w:tc>
          <w:tcPr>
            <w:tcW w:w="8289" w:type="dxa"/>
            <w:gridSpan w:val="4"/>
          </w:tcPr>
          <w:p>
            <w:pPr>
              <w:pStyle w:val="TableParagraph"/>
              <w:spacing w:before="84"/>
              <w:ind w:left="23"/>
              <w:jc w:val="center"/>
              <w:rPr>
                <w:sz w:val="40"/>
              </w:rPr>
            </w:pPr>
            <w:r>
              <w:rPr>
                <w:w w:val="100"/>
                <w:sz w:val="40"/>
              </w:rPr>
              <w:t>A</w:t>
            </w:r>
          </w:p>
        </w:tc>
      </w:tr>
      <w:tr>
        <w:trPr>
          <w:trHeight w:val="718" w:hRule="atLeast"/>
        </w:trPr>
        <w:tc>
          <w:tcPr>
            <w:tcW w:w="1912" w:type="dxa"/>
            <w:gridSpan w:val="2"/>
          </w:tcPr>
          <w:p>
            <w:pPr>
              <w:pStyle w:val="TableParagraph"/>
              <w:spacing w:before="163"/>
              <w:ind w:left="395"/>
              <w:rPr>
                <w:sz w:val="28"/>
              </w:rPr>
            </w:pPr>
            <w:r>
              <w:rPr>
                <w:sz w:val="28"/>
              </w:rPr>
              <w:t>廠商名稱</w:t>
            </w:r>
          </w:p>
        </w:tc>
        <w:tc>
          <w:tcPr>
            <w:tcW w:w="8289" w:type="dxa"/>
            <w:gridSpan w:val="4"/>
          </w:tcPr>
          <w:p>
            <w:pPr>
              <w:pStyle w:val="TableParagraph"/>
              <w:rPr>
                <w:rFonts w:ascii="Times New Roman"/>
                <w:sz w:val="24"/>
              </w:rPr>
            </w:pPr>
          </w:p>
        </w:tc>
      </w:tr>
      <w:tr>
        <w:trPr>
          <w:trHeight w:val="721" w:hRule="atLeast"/>
        </w:trPr>
        <w:tc>
          <w:tcPr>
            <w:tcW w:w="1191" w:type="dxa"/>
            <w:tcBorders>
              <w:right w:val="nil"/>
            </w:tcBorders>
          </w:tcPr>
          <w:p>
            <w:pPr>
              <w:pStyle w:val="TableParagraph"/>
              <w:spacing w:before="10"/>
              <w:rPr>
                <w:sz w:val="26"/>
              </w:rPr>
            </w:pPr>
          </w:p>
          <w:p>
            <w:pPr>
              <w:pStyle w:val="TableParagraph"/>
              <w:spacing w:line="327" w:lineRule="exact"/>
              <w:ind w:left="109"/>
              <w:rPr>
                <w:sz w:val="24"/>
              </w:rPr>
            </w:pPr>
            <w:r>
              <w:rPr>
                <w:sz w:val="24"/>
              </w:rPr>
              <w:t>出席委員</w:t>
            </w:r>
          </w:p>
        </w:tc>
        <w:tc>
          <w:tcPr>
            <w:tcW w:w="721" w:type="dxa"/>
            <w:tcBorders>
              <w:left w:val="nil"/>
            </w:tcBorders>
          </w:tcPr>
          <w:p>
            <w:pPr>
              <w:pStyle w:val="TableParagraph"/>
              <w:spacing w:before="13"/>
              <w:ind w:left="134"/>
              <w:rPr>
                <w:sz w:val="24"/>
              </w:rPr>
            </w:pPr>
            <w:r>
              <w:rPr>
                <w:sz w:val="24"/>
              </w:rPr>
              <w:t>評比</w:t>
            </w:r>
          </w:p>
        </w:tc>
        <w:tc>
          <w:tcPr>
            <w:tcW w:w="8289" w:type="dxa"/>
            <w:gridSpan w:val="4"/>
          </w:tcPr>
          <w:p>
            <w:pPr>
              <w:pStyle w:val="TableParagraph"/>
              <w:spacing w:before="166"/>
              <w:ind w:left="3841" w:right="3817"/>
              <w:jc w:val="center"/>
              <w:rPr>
                <w:sz w:val="28"/>
              </w:rPr>
            </w:pPr>
            <w:r>
              <w:rPr>
                <w:sz w:val="28"/>
              </w:rPr>
              <w:t>得分</w:t>
            </w:r>
          </w:p>
        </w:tc>
      </w:tr>
      <w:tr>
        <w:trPr>
          <w:trHeight w:val="533" w:hRule="atLeast"/>
        </w:trPr>
        <w:tc>
          <w:tcPr>
            <w:tcW w:w="1912" w:type="dxa"/>
            <w:gridSpan w:val="2"/>
          </w:tcPr>
          <w:p>
            <w:pPr>
              <w:pStyle w:val="TableParagraph"/>
              <w:spacing w:before="97"/>
              <w:ind w:left="537"/>
              <w:rPr>
                <w:sz w:val="24"/>
              </w:rPr>
            </w:pPr>
            <w:r>
              <w:rPr>
                <w:sz w:val="24"/>
              </w:rPr>
              <w:t>委員(1)</w:t>
            </w:r>
          </w:p>
        </w:tc>
        <w:tc>
          <w:tcPr>
            <w:tcW w:w="8289" w:type="dxa"/>
            <w:gridSpan w:val="4"/>
          </w:tcPr>
          <w:p>
            <w:pPr>
              <w:pStyle w:val="TableParagraph"/>
              <w:rPr>
                <w:rFonts w:ascii="Times New Roman"/>
                <w:sz w:val="24"/>
              </w:rPr>
            </w:pPr>
          </w:p>
        </w:tc>
      </w:tr>
      <w:tr>
        <w:trPr>
          <w:trHeight w:val="534" w:hRule="atLeast"/>
        </w:trPr>
        <w:tc>
          <w:tcPr>
            <w:tcW w:w="1912" w:type="dxa"/>
            <w:gridSpan w:val="2"/>
          </w:tcPr>
          <w:p>
            <w:pPr>
              <w:pStyle w:val="TableParagraph"/>
              <w:spacing w:before="97"/>
              <w:ind w:left="537"/>
              <w:rPr>
                <w:sz w:val="24"/>
              </w:rPr>
            </w:pPr>
            <w:r>
              <w:rPr>
                <w:sz w:val="24"/>
              </w:rPr>
              <w:t>委員(2)</w:t>
            </w:r>
          </w:p>
        </w:tc>
        <w:tc>
          <w:tcPr>
            <w:tcW w:w="8289" w:type="dxa"/>
            <w:gridSpan w:val="4"/>
          </w:tcPr>
          <w:p>
            <w:pPr>
              <w:pStyle w:val="TableParagraph"/>
              <w:rPr>
                <w:rFonts w:ascii="Times New Roman"/>
                <w:sz w:val="24"/>
              </w:rPr>
            </w:pPr>
          </w:p>
        </w:tc>
      </w:tr>
      <w:tr>
        <w:trPr>
          <w:trHeight w:val="534" w:hRule="atLeast"/>
        </w:trPr>
        <w:tc>
          <w:tcPr>
            <w:tcW w:w="1912" w:type="dxa"/>
            <w:gridSpan w:val="2"/>
          </w:tcPr>
          <w:p>
            <w:pPr>
              <w:pStyle w:val="TableParagraph"/>
              <w:spacing w:before="97"/>
              <w:ind w:left="537"/>
              <w:rPr>
                <w:sz w:val="24"/>
              </w:rPr>
            </w:pPr>
            <w:r>
              <w:rPr>
                <w:sz w:val="24"/>
              </w:rPr>
              <w:t>委員(3)</w:t>
            </w:r>
          </w:p>
        </w:tc>
        <w:tc>
          <w:tcPr>
            <w:tcW w:w="8289" w:type="dxa"/>
            <w:gridSpan w:val="4"/>
          </w:tcPr>
          <w:p>
            <w:pPr>
              <w:pStyle w:val="TableParagraph"/>
              <w:rPr>
                <w:rFonts w:ascii="Times New Roman"/>
                <w:sz w:val="24"/>
              </w:rPr>
            </w:pPr>
          </w:p>
        </w:tc>
      </w:tr>
      <w:tr>
        <w:trPr>
          <w:trHeight w:val="533" w:hRule="atLeast"/>
        </w:trPr>
        <w:tc>
          <w:tcPr>
            <w:tcW w:w="1912" w:type="dxa"/>
            <w:gridSpan w:val="2"/>
          </w:tcPr>
          <w:p>
            <w:pPr>
              <w:pStyle w:val="TableParagraph"/>
              <w:spacing w:before="97"/>
              <w:ind w:left="537"/>
              <w:rPr>
                <w:sz w:val="24"/>
              </w:rPr>
            </w:pPr>
            <w:r>
              <w:rPr>
                <w:sz w:val="24"/>
              </w:rPr>
              <w:t>委員(4)</w:t>
            </w:r>
          </w:p>
        </w:tc>
        <w:tc>
          <w:tcPr>
            <w:tcW w:w="8289" w:type="dxa"/>
            <w:gridSpan w:val="4"/>
          </w:tcPr>
          <w:p>
            <w:pPr>
              <w:pStyle w:val="TableParagraph"/>
              <w:rPr>
                <w:rFonts w:ascii="Times New Roman"/>
                <w:sz w:val="24"/>
              </w:rPr>
            </w:pPr>
          </w:p>
        </w:tc>
      </w:tr>
      <w:tr>
        <w:trPr>
          <w:trHeight w:val="534" w:hRule="atLeast"/>
        </w:trPr>
        <w:tc>
          <w:tcPr>
            <w:tcW w:w="1912" w:type="dxa"/>
            <w:gridSpan w:val="2"/>
          </w:tcPr>
          <w:p>
            <w:pPr>
              <w:pStyle w:val="TableParagraph"/>
              <w:spacing w:before="98"/>
              <w:ind w:left="537"/>
              <w:rPr>
                <w:sz w:val="24"/>
              </w:rPr>
            </w:pPr>
            <w:r>
              <w:rPr>
                <w:sz w:val="24"/>
              </w:rPr>
              <w:t>委員(5)</w:t>
            </w:r>
          </w:p>
        </w:tc>
        <w:tc>
          <w:tcPr>
            <w:tcW w:w="8289" w:type="dxa"/>
            <w:gridSpan w:val="4"/>
          </w:tcPr>
          <w:p>
            <w:pPr>
              <w:pStyle w:val="TableParagraph"/>
              <w:rPr>
                <w:rFonts w:ascii="Times New Roman"/>
                <w:sz w:val="24"/>
              </w:rPr>
            </w:pPr>
          </w:p>
        </w:tc>
      </w:tr>
      <w:tr>
        <w:trPr>
          <w:trHeight w:val="534" w:hRule="atLeast"/>
        </w:trPr>
        <w:tc>
          <w:tcPr>
            <w:tcW w:w="1912" w:type="dxa"/>
            <w:gridSpan w:val="2"/>
          </w:tcPr>
          <w:p>
            <w:pPr>
              <w:pStyle w:val="TableParagraph"/>
              <w:spacing w:before="98"/>
              <w:ind w:left="537"/>
              <w:rPr>
                <w:sz w:val="24"/>
              </w:rPr>
            </w:pPr>
            <w:r>
              <w:rPr>
                <w:sz w:val="24"/>
              </w:rPr>
              <w:t>委員(6)</w:t>
            </w:r>
          </w:p>
        </w:tc>
        <w:tc>
          <w:tcPr>
            <w:tcW w:w="8289" w:type="dxa"/>
            <w:gridSpan w:val="4"/>
          </w:tcPr>
          <w:p>
            <w:pPr>
              <w:pStyle w:val="TableParagraph"/>
              <w:rPr>
                <w:rFonts w:ascii="Times New Roman"/>
                <w:sz w:val="24"/>
              </w:rPr>
            </w:pPr>
          </w:p>
        </w:tc>
      </w:tr>
      <w:tr>
        <w:trPr>
          <w:trHeight w:val="533" w:hRule="atLeast"/>
        </w:trPr>
        <w:tc>
          <w:tcPr>
            <w:tcW w:w="1912" w:type="dxa"/>
            <w:gridSpan w:val="2"/>
          </w:tcPr>
          <w:p>
            <w:pPr>
              <w:pStyle w:val="TableParagraph"/>
              <w:spacing w:before="97"/>
              <w:ind w:left="537"/>
              <w:rPr>
                <w:sz w:val="24"/>
              </w:rPr>
            </w:pPr>
            <w:r>
              <w:rPr>
                <w:sz w:val="24"/>
              </w:rPr>
              <w:t>委員(7)</w:t>
            </w:r>
          </w:p>
        </w:tc>
        <w:tc>
          <w:tcPr>
            <w:tcW w:w="8289" w:type="dxa"/>
            <w:gridSpan w:val="4"/>
          </w:tcPr>
          <w:p>
            <w:pPr>
              <w:pStyle w:val="TableParagraph"/>
              <w:rPr>
                <w:rFonts w:ascii="Times New Roman"/>
                <w:sz w:val="24"/>
              </w:rPr>
            </w:pPr>
          </w:p>
        </w:tc>
      </w:tr>
      <w:tr>
        <w:trPr>
          <w:trHeight w:val="567" w:hRule="atLeast"/>
        </w:trPr>
        <w:tc>
          <w:tcPr>
            <w:tcW w:w="1191" w:type="dxa"/>
            <w:tcBorders>
              <w:right w:val="nil"/>
            </w:tcBorders>
          </w:tcPr>
          <w:p>
            <w:pPr>
              <w:pStyle w:val="TableParagraph"/>
              <w:rPr>
                <w:rFonts w:ascii="Times New Roman"/>
                <w:sz w:val="24"/>
              </w:rPr>
            </w:pPr>
          </w:p>
        </w:tc>
        <w:tc>
          <w:tcPr>
            <w:tcW w:w="721" w:type="dxa"/>
            <w:tcBorders>
              <w:left w:val="nil"/>
              <w:right w:val="nil"/>
            </w:tcBorders>
          </w:tcPr>
          <w:p>
            <w:pPr>
              <w:pStyle w:val="TableParagraph"/>
              <w:rPr>
                <w:rFonts w:ascii="Times New Roman"/>
                <w:sz w:val="24"/>
              </w:rPr>
            </w:pPr>
          </w:p>
        </w:tc>
        <w:tc>
          <w:tcPr>
            <w:tcW w:w="2668" w:type="dxa"/>
            <w:tcBorders>
              <w:left w:val="nil"/>
              <w:right w:val="nil"/>
            </w:tcBorders>
          </w:tcPr>
          <w:p>
            <w:pPr>
              <w:pStyle w:val="TableParagraph"/>
              <w:spacing w:before="104"/>
              <w:ind w:right="115"/>
              <w:jc w:val="right"/>
              <w:rPr>
                <w:sz w:val="26"/>
              </w:rPr>
            </w:pPr>
            <w:r>
              <w:rPr>
                <w:w w:val="99"/>
                <w:sz w:val="26"/>
              </w:rPr>
              <w:t>統</w:t>
            </w:r>
          </w:p>
        </w:tc>
        <w:tc>
          <w:tcPr>
            <w:tcW w:w="521" w:type="dxa"/>
            <w:tcBorders>
              <w:left w:val="nil"/>
              <w:right w:val="nil"/>
            </w:tcBorders>
          </w:tcPr>
          <w:p>
            <w:pPr>
              <w:pStyle w:val="TableParagraph"/>
              <w:spacing w:before="104"/>
              <w:ind w:left="141"/>
              <w:rPr>
                <w:sz w:val="26"/>
              </w:rPr>
            </w:pPr>
            <w:r>
              <w:rPr>
                <w:w w:val="99"/>
                <w:sz w:val="26"/>
              </w:rPr>
              <w:t>計</w:t>
            </w:r>
          </w:p>
        </w:tc>
        <w:tc>
          <w:tcPr>
            <w:tcW w:w="521" w:type="dxa"/>
            <w:tcBorders>
              <w:left w:val="nil"/>
              <w:right w:val="nil"/>
            </w:tcBorders>
          </w:tcPr>
          <w:p>
            <w:pPr>
              <w:pStyle w:val="TableParagraph"/>
              <w:spacing w:before="104"/>
              <w:ind w:left="141"/>
              <w:rPr>
                <w:sz w:val="26"/>
              </w:rPr>
            </w:pPr>
            <w:r>
              <w:rPr>
                <w:w w:val="99"/>
                <w:sz w:val="26"/>
              </w:rPr>
              <w:t>結</w:t>
            </w:r>
          </w:p>
        </w:tc>
        <w:tc>
          <w:tcPr>
            <w:tcW w:w="4579" w:type="dxa"/>
            <w:tcBorders>
              <w:left w:val="nil"/>
            </w:tcBorders>
          </w:tcPr>
          <w:p>
            <w:pPr>
              <w:pStyle w:val="TableParagraph"/>
              <w:spacing w:before="104"/>
              <w:ind w:left="139"/>
              <w:rPr>
                <w:sz w:val="26"/>
              </w:rPr>
            </w:pPr>
            <w:r>
              <w:rPr>
                <w:w w:val="99"/>
                <w:sz w:val="26"/>
              </w:rPr>
              <w:t>果</w:t>
            </w:r>
          </w:p>
        </w:tc>
      </w:tr>
      <w:tr>
        <w:trPr>
          <w:trHeight w:val="721" w:hRule="atLeast"/>
        </w:trPr>
        <w:tc>
          <w:tcPr>
            <w:tcW w:w="1912" w:type="dxa"/>
            <w:gridSpan w:val="2"/>
          </w:tcPr>
          <w:p>
            <w:pPr>
              <w:pStyle w:val="TableParagraph"/>
              <w:spacing w:before="166"/>
              <w:ind w:left="395"/>
              <w:rPr>
                <w:sz w:val="28"/>
              </w:rPr>
            </w:pPr>
            <w:r>
              <w:rPr>
                <w:sz w:val="28"/>
              </w:rPr>
              <w:t>加總分數</w:t>
            </w:r>
          </w:p>
        </w:tc>
        <w:tc>
          <w:tcPr>
            <w:tcW w:w="8289" w:type="dxa"/>
            <w:gridSpan w:val="4"/>
          </w:tcPr>
          <w:p>
            <w:pPr>
              <w:pStyle w:val="TableParagraph"/>
              <w:rPr>
                <w:rFonts w:ascii="Times New Roman"/>
                <w:sz w:val="24"/>
              </w:rPr>
            </w:pPr>
          </w:p>
        </w:tc>
      </w:tr>
      <w:tr>
        <w:trPr>
          <w:trHeight w:val="718" w:hRule="atLeast"/>
        </w:trPr>
        <w:tc>
          <w:tcPr>
            <w:tcW w:w="1912" w:type="dxa"/>
            <w:gridSpan w:val="2"/>
          </w:tcPr>
          <w:p>
            <w:pPr>
              <w:pStyle w:val="TableParagraph"/>
              <w:spacing w:before="163"/>
              <w:ind w:left="395"/>
              <w:rPr>
                <w:sz w:val="28"/>
              </w:rPr>
            </w:pPr>
            <w:r>
              <w:rPr>
                <w:sz w:val="28"/>
              </w:rPr>
              <w:t>平均分數</w:t>
            </w:r>
          </w:p>
        </w:tc>
        <w:tc>
          <w:tcPr>
            <w:tcW w:w="8289" w:type="dxa"/>
            <w:gridSpan w:val="4"/>
          </w:tcPr>
          <w:p>
            <w:pPr>
              <w:pStyle w:val="TableParagraph"/>
              <w:rPr>
                <w:rFonts w:ascii="Times New Roman"/>
                <w:sz w:val="24"/>
              </w:rPr>
            </w:pPr>
          </w:p>
        </w:tc>
      </w:tr>
      <w:tr>
        <w:trPr>
          <w:trHeight w:val="1441" w:hRule="atLeast"/>
        </w:trPr>
        <w:tc>
          <w:tcPr>
            <w:tcW w:w="1912" w:type="dxa"/>
            <w:gridSpan w:val="2"/>
          </w:tcPr>
          <w:p>
            <w:pPr>
              <w:pStyle w:val="TableParagraph"/>
              <w:spacing w:before="165"/>
              <w:ind w:left="157" w:right="125"/>
              <w:jc w:val="center"/>
              <w:rPr>
                <w:sz w:val="28"/>
              </w:rPr>
            </w:pPr>
            <w:r>
              <w:rPr>
                <w:sz w:val="28"/>
              </w:rPr>
              <w:t>全部委員</w:t>
            </w:r>
          </w:p>
          <w:p>
            <w:pPr>
              <w:pStyle w:val="TableParagraph"/>
              <w:spacing w:before="177"/>
              <w:ind w:left="157" w:right="125"/>
              <w:jc w:val="center"/>
              <w:rPr>
                <w:sz w:val="24"/>
              </w:rPr>
            </w:pPr>
            <w:r>
              <w:rPr>
                <w:sz w:val="24"/>
              </w:rPr>
              <w:t>(出席委員請於</w:t>
            </w:r>
          </w:p>
          <w:p>
            <w:pPr>
              <w:pStyle w:val="TableParagraph"/>
              <w:spacing w:line="327" w:lineRule="exact" w:before="24"/>
              <w:ind w:left="157" w:right="125"/>
              <w:jc w:val="center"/>
              <w:rPr>
                <w:sz w:val="24"/>
              </w:rPr>
            </w:pPr>
            <w:r>
              <w:rPr>
                <w:sz w:val="24"/>
              </w:rPr>
              <w:t>□內打勾)</w:t>
            </w:r>
          </w:p>
        </w:tc>
        <w:tc>
          <w:tcPr>
            <w:tcW w:w="8289" w:type="dxa"/>
            <w:gridSpan w:val="4"/>
          </w:tcPr>
          <w:p>
            <w:pPr>
              <w:pStyle w:val="TableParagraph"/>
              <w:rPr>
                <w:rFonts w:ascii="Times New Roman"/>
                <w:sz w:val="24"/>
              </w:rPr>
            </w:pPr>
          </w:p>
        </w:tc>
      </w:tr>
      <w:tr>
        <w:trPr>
          <w:trHeight w:val="1962" w:hRule="atLeast"/>
        </w:trPr>
        <w:tc>
          <w:tcPr>
            <w:tcW w:w="1912" w:type="dxa"/>
            <w:gridSpan w:val="2"/>
          </w:tcPr>
          <w:p>
            <w:pPr>
              <w:pStyle w:val="TableParagraph"/>
              <w:spacing w:line="172" w:lineRule="auto" w:before="164"/>
              <w:ind w:left="817" w:right="781"/>
              <w:jc w:val="both"/>
              <w:rPr>
                <w:sz w:val="28"/>
              </w:rPr>
            </w:pPr>
            <w:r>
              <w:rPr>
                <w:sz w:val="28"/>
              </w:rPr>
              <w:t>出席委員簽名</w:t>
            </w:r>
          </w:p>
        </w:tc>
        <w:tc>
          <w:tcPr>
            <w:tcW w:w="8289" w:type="dxa"/>
            <w:gridSpan w:val="4"/>
          </w:tcPr>
          <w:p>
            <w:pPr>
              <w:pStyle w:val="TableParagraph"/>
              <w:spacing w:before="11"/>
              <w:ind w:left="108"/>
              <w:rPr>
                <w:sz w:val="24"/>
              </w:rPr>
            </w:pPr>
            <w:r>
              <w:rPr>
                <w:sz w:val="24"/>
              </w:rPr>
              <w:t>出席委員簽名</w:t>
            </w:r>
          </w:p>
        </w:tc>
      </w:tr>
    </w:tbl>
    <w:p>
      <w:pPr>
        <w:pStyle w:val="BodyText"/>
        <w:spacing w:line="256" w:lineRule="auto" w:before="20"/>
        <w:ind w:left="2250" w:right="1270" w:hanging="516"/>
      </w:pPr>
      <w:r>
        <w:rPr>
          <w:spacing w:val="-1"/>
        </w:rPr>
        <w:t>註：審查結果應再次徵詢審查委員意見，並經出席委員過半數同意，列入會議</w:t>
      </w:r>
      <w:r>
        <w:rPr/>
        <w:t>記錄，其結果應簽報本校校長或其授權人員核定。</w:t>
      </w:r>
    </w:p>
    <w:p>
      <w:pPr>
        <w:pStyle w:val="BodyText"/>
        <w:ind w:left="0"/>
        <w:rPr>
          <w:sz w:val="20"/>
        </w:rPr>
      </w:pPr>
    </w:p>
    <w:p>
      <w:pPr>
        <w:pStyle w:val="BodyText"/>
        <w:ind w:left="0"/>
        <w:rPr>
          <w:sz w:val="20"/>
        </w:rPr>
      </w:pPr>
    </w:p>
    <w:p>
      <w:pPr>
        <w:pStyle w:val="BodyText"/>
        <w:spacing w:before="13"/>
        <w:ind w:left="0"/>
        <w:rPr>
          <w:sz w:val="19"/>
        </w:rPr>
      </w:pPr>
    </w:p>
    <w:p>
      <w:pPr>
        <w:spacing w:before="91"/>
        <w:ind w:left="1819" w:right="1496" w:firstLine="0"/>
        <w:jc w:val="center"/>
        <w:rPr>
          <w:rFonts w:ascii="Times New Roman"/>
          <w:sz w:val="20"/>
        </w:rPr>
      </w:pPr>
      <w:r>
        <w:rPr>
          <w:rFonts w:ascii="Times New Roman"/>
          <w:sz w:val="20"/>
        </w:rPr>
        <w:t>13</w:t>
      </w:r>
    </w:p>
    <w:sectPr>
      <w:pgSz w:w="11910" w:h="16850"/>
      <w:pgMar w:top="820" w:bottom="280" w:left="4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新細明體">
    <w:altName w:val="新細明體"/>
    <w:charset w:val="88"/>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878" w:hanging="480"/>
        <w:jc w:val="left"/>
      </w:pPr>
      <w:rPr>
        <w:rFonts w:hint="default" w:ascii="標楷體" w:hAnsi="標楷體" w:eastAsia="標楷體" w:cs="標楷體"/>
        <w:b w:val="0"/>
        <w:bCs w:val="0"/>
        <w:i w:val="0"/>
        <w:iCs w:val="0"/>
        <w:spacing w:val="0"/>
        <w:w w:val="99"/>
        <w:sz w:val="20"/>
        <w:szCs w:val="20"/>
        <w:lang w:val="en-US" w:eastAsia="zh-tw" w:bidi="ar-SA"/>
      </w:rPr>
    </w:lvl>
    <w:lvl w:ilvl="1">
      <w:start w:val="0"/>
      <w:numFmt w:val="bullet"/>
      <w:lvlText w:val="•"/>
      <w:lvlJc w:val="left"/>
      <w:pPr>
        <w:ind w:left="2808" w:hanging="480"/>
      </w:pPr>
      <w:rPr>
        <w:rFonts w:hint="default"/>
        <w:lang w:val="en-US" w:eastAsia="zh-tw" w:bidi="ar-SA"/>
      </w:rPr>
    </w:lvl>
    <w:lvl w:ilvl="2">
      <w:start w:val="0"/>
      <w:numFmt w:val="bullet"/>
      <w:lvlText w:val="•"/>
      <w:lvlJc w:val="left"/>
      <w:pPr>
        <w:ind w:left="3737" w:hanging="480"/>
      </w:pPr>
      <w:rPr>
        <w:rFonts w:hint="default"/>
        <w:lang w:val="en-US" w:eastAsia="zh-tw" w:bidi="ar-SA"/>
      </w:rPr>
    </w:lvl>
    <w:lvl w:ilvl="3">
      <w:start w:val="0"/>
      <w:numFmt w:val="bullet"/>
      <w:lvlText w:val="•"/>
      <w:lvlJc w:val="left"/>
      <w:pPr>
        <w:ind w:left="4665" w:hanging="480"/>
      </w:pPr>
      <w:rPr>
        <w:rFonts w:hint="default"/>
        <w:lang w:val="en-US" w:eastAsia="zh-tw" w:bidi="ar-SA"/>
      </w:rPr>
    </w:lvl>
    <w:lvl w:ilvl="4">
      <w:start w:val="0"/>
      <w:numFmt w:val="bullet"/>
      <w:lvlText w:val="•"/>
      <w:lvlJc w:val="left"/>
      <w:pPr>
        <w:ind w:left="5594" w:hanging="480"/>
      </w:pPr>
      <w:rPr>
        <w:rFonts w:hint="default"/>
        <w:lang w:val="en-US" w:eastAsia="zh-tw" w:bidi="ar-SA"/>
      </w:rPr>
    </w:lvl>
    <w:lvl w:ilvl="5">
      <w:start w:val="0"/>
      <w:numFmt w:val="bullet"/>
      <w:lvlText w:val="•"/>
      <w:lvlJc w:val="left"/>
      <w:pPr>
        <w:ind w:left="6523" w:hanging="480"/>
      </w:pPr>
      <w:rPr>
        <w:rFonts w:hint="default"/>
        <w:lang w:val="en-US" w:eastAsia="zh-tw" w:bidi="ar-SA"/>
      </w:rPr>
    </w:lvl>
    <w:lvl w:ilvl="6">
      <w:start w:val="0"/>
      <w:numFmt w:val="bullet"/>
      <w:lvlText w:val="•"/>
      <w:lvlJc w:val="left"/>
      <w:pPr>
        <w:ind w:left="7451" w:hanging="480"/>
      </w:pPr>
      <w:rPr>
        <w:rFonts w:hint="default"/>
        <w:lang w:val="en-US" w:eastAsia="zh-tw" w:bidi="ar-SA"/>
      </w:rPr>
    </w:lvl>
    <w:lvl w:ilvl="7">
      <w:start w:val="0"/>
      <w:numFmt w:val="bullet"/>
      <w:lvlText w:val="•"/>
      <w:lvlJc w:val="left"/>
      <w:pPr>
        <w:ind w:left="8380" w:hanging="480"/>
      </w:pPr>
      <w:rPr>
        <w:rFonts w:hint="default"/>
        <w:lang w:val="en-US" w:eastAsia="zh-tw" w:bidi="ar-SA"/>
      </w:rPr>
    </w:lvl>
    <w:lvl w:ilvl="8">
      <w:start w:val="0"/>
      <w:numFmt w:val="bullet"/>
      <w:lvlText w:val="•"/>
      <w:lvlJc w:val="left"/>
      <w:pPr>
        <w:ind w:left="9309" w:hanging="480"/>
      </w:pPr>
      <w:rPr>
        <w:rFonts w:hint="default"/>
        <w:lang w:val="en-US" w:eastAsia="zh-tw" w:bidi="ar-SA"/>
      </w:rPr>
    </w:lvl>
  </w:abstractNum>
  <w:abstractNum w:abstractNumId="11">
    <w:multiLevelType w:val="hybridMultilevel"/>
    <w:lvl w:ilvl="0">
      <w:start w:val="1"/>
      <w:numFmt w:val="decimal"/>
      <w:lvlText w:val="%1."/>
      <w:lvlJc w:val="left"/>
      <w:pPr>
        <w:ind w:left="3154" w:hanging="25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960" w:hanging="250"/>
      </w:pPr>
      <w:rPr>
        <w:rFonts w:hint="default"/>
        <w:lang w:val="en-US" w:eastAsia="zh-tw" w:bidi="ar-SA"/>
      </w:rPr>
    </w:lvl>
    <w:lvl w:ilvl="2">
      <w:start w:val="0"/>
      <w:numFmt w:val="bullet"/>
      <w:lvlText w:val="•"/>
      <w:lvlJc w:val="left"/>
      <w:pPr>
        <w:ind w:left="4761" w:hanging="250"/>
      </w:pPr>
      <w:rPr>
        <w:rFonts w:hint="default"/>
        <w:lang w:val="en-US" w:eastAsia="zh-tw" w:bidi="ar-SA"/>
      </w:rPr>
    </w:lvl>
    <w:lvl w:ilvl="3">
      <w:start w:val="0"/>
      <w:numFmt w:val="bullet"/>
      <w:lvlText w:val="•"/>
      <w:lvlJc w:val="left"/>
      <w:pPr>
        <w:ind w:left="5561" w:hanging="250"/>
      </w:pPr>
      <w:rPr>
        <w:rFonts w:hint="default"/>
        <w:lang w:val="en-US" w:eastAsia="zh-tw" w:bidi="ar-SA"/>
      </w:rPr>
    </w:lvl>
    <w:lvl w:ilvl="4">
      <w:start w:val="0"/>
      <w:numFmt w:val="bullet"/>
      <w:lvlText w:val="•"/>
      <w:lvlJc w:val="left"/>
      <w:pPr>
        <w:ind w:left="6362" w:hanging="250"/>
      </w:pPr>
      <w:rPr>
        <w:rFonts w:hint="default"/>
        <w:lang w:val="en-US" w:eastAsia="zh-tw" w:bidi="ar-SA"/>
      </w:rPr>
    </w:lvl>
    <w:lvl w:ilvl="5">
      <w:start w:val="0"/>
      <w:numFmt w:val="bullet"/>
      <w:lvlText w:val="•"/>
      <w:lvlJc w:val="left"/>
      <w:pPr>
        <w:ind w:left="7163" w:hanging="250"/>
      </w:pPr>
      <w:rPr>
        <w:rFonts w:hint="default"/>
        <w:lang w:val="en-US" w:eastAsia="zh-tw" w:bidi="ar-SA"/>
      </w:rPr>
    </w:lvl>
    <w:lvl w:ilvl="6">
      <w:start w:val="0"/>
      <w:numFmt w:val="bullet"/>
      <w:lvlText w:val="•"/>
      <w:lvlJc w:val="left"/>
      <w:pPr>
        <w:ind w:left="7963" w:hanging="250"/>
      </w:pPr>
      <w:rPr>
        <w:rFonts w:hint="default"/>
        <w:lang w:val="en-US" w:eastAsia="zh-tw" w:bidi="ar-SA"/>
      </w:rPr>
    </w:lvl>
    <w:lvl w:ilvl="7">
      <w:start w:val="0"/>
      <w:numFmt w:val="bullet"/>
      <w:lvlText w:val="•"/>
      <w:lvlJc w:val="left"/>
      <w:pPr>
        <w:ind w:left="8764" w:hanging="250"/>
      </w:pPr>
      <w:rPr>
        <w:rFonts w:hint="default"/>
        <w:lang w:val="en-US" w:eastAsia="zh-tw" w:bidi="ar-SA"/>
      </w:rPr>
    </w:lvl>
    <w:lvl w:ilvl="8">
      <w:start w:val="0"/>
      <w:numFmt w:val="bullet"/>
      <w:lvlText w:val="•"/>
      <w:lvlJc w:val="left"/>
      <w:pPr>
        <w:ind w:left="9565" w:hanging="250"/>
      </w:pPr>
      <w:rPr>
        <w:rFonts w:hint="default"/>
        <w:lang w:val="en-US" w:eastAsia="zh-tw" w:bidi="ar-SA"/>
      </w:rPr>
    </w:lvl>
  </w:abstractNum>
  <w:abstractNum w:abstractNumId="10">
    <w:multiLevelType w:val="hybridMultilevel"/>
    <w:lvl w:ilvl="0">
      <w:start w:val="1"/>
      <w:numFmt w:val="decimal"/>
      <w:lvlText w:val="%1."/>
      <w:lvlJc w:val="left"/>
      <w:pPr>
        <w:ind w:left="3018" w:hanging="241"/>
        <w:jc w:val="left"/>
      </w:pPr>
      <w:rPr>
        <w:rFonts w:hint="default"/>
        <w:w w:val="100"/>
        <w:lang w:val="en-US" w:eastAsia="zh-tw" w:bidi="ar-SA"/>
      </w:rPr>
    </w:lvl>
    <w:lvl w:ilvl="1">
      <w:start w:val="0"/>
      <w:numFmt w:val="bullet"/>
      <w:lvlText w:val="•"/>
      <w:lvlJc w:val="left"/>
      <w:pPr>
        <w:ind w:left="3834" w:hanging="241"/>
      </w:pPr>
      <w:rPr>
        <w:rFonts w:hint="default"/>
        <w:lang w:val="en-US" w:eastAsia="zh-tw" w:bidi="ar-SA"/>
      </w:rPr>
    </w:lvl>
    <w:lvl w:ilvl="2">
      <w:start w:val="0"/>
      <w:numFmt w:val="bullet"/>
      <w:lvlText w:val="•"/>
      <w:lvlJc w:val="left"/>
      <w:pPr>
        <w:ind w:left="4649" w:hanging="241"/>
      </w:pPr>
      <w:rPr>
        <w:rFonts w:hint="default"/>
        <w:lang w:val="en-US" w:eastAsia="zh-tw" w:bidi="ar-SA"/>
      </w:rPr>
    </w:lvl>
    <w:lvl w:ilvl="3">
      <w:start w:val="0"/>
      <w:numFmt w:val="bullet"/>
      <w:lvlText w:val="•"/>
      <w:lvlJc w:val="left"/>
      <w:pPr>
        <w:ind w:left="5463" w:hanging="241"/>
      </w:pPr>
      <w:rPr>
        <w:rFonts w:hint="default"/>
        <w:lang w:val="en-US" w:eastAsia="zh-tw" w:bidi="ar-SA"/>
      </w:rPr>
    </w:lvl>
    <w:lvl w:ilvl="4">
      <w:start w:val="0"/>
      <w:numFmt w:val="bullet"/>
      <w:lvlText w:val="•"/>
      <w:lvlJc w:val="left"/>
      <w:pPr>
        <w:ind w:left="6278" w:hanging="241"/>
      </w:pPr>
      <w:rPr>
        <w:rFonts w:hint="default"/>
        <w:lang w:val="en-US" w:eastAsia="zh-tw" w:bidi="ar-SA"/>
      </w:rPr>
    </w:lvl>
    <w:lvl w:ilvl="5">
      <w:start w:val="0"/>
      <w:numFmt w:val="bullet"/>
      <w:lvlText w:val="•"/>
      <w:lvlJc w:val="left"/>
      <w:pPr>
        <w:ind w:left="7093" w:hanging="241"/>
      </w:pPr>
      <w:rPr>
        <w:rFonts w:hint="default"/>
        <w:lang w:val="en-US" w:eastAsia="zh-tw" w:bidi="ar-SA"/>
      </w:rPr>
    </w:lvl>
    <w:lvl w:ilvl="6">
      <w:start w:val="0"/>
      <w:numFmt w:val="bullet"/>
      <w:lvlText w:val="•"/>
      <w:lvlJc w:val="left"/>
      <w:pPr>
        <w:ind w:left="7907" w:hanging="241"/>
      </w:pPr>
      <w:rPr>
        <w:rFonts w:hint="default"/>
        <w:lang w:val="en-US" w:eastAsia="zh-tw" w:bidi="ar-SA"/>
      </w:rPr>
    </w:lvl>
    <w:lvl w:ilvl="7">
      <w:start w:val="0"/>
      <w:numFmt w:val="bullet"/>
      <w:lvlText w:val="•"/>
      <w:lvlJc w:val="left"/>
      <w:pPr>
        <w:ind w:left="8722" w:hanging="241"/>
      </w:pPr>
      <w:rPr>
        <w:rFonts w:hint="default"/>
        <w:lang w:val="en-US" w:eastAsia="zh-tw" w:bidi="ar-SA"/>
      </w:rPr>
    </w:lvl>
    <w:lvl w:ilvl="8">
      <w:start w:val="0"/>
      <w:numFmt w:val="bullet"/>
      <w:lvlText w:val="•"/>
      <w:lvlJc w:val="left"/>
      <w:pPr>
        <w:ind w:left="9537" w:hanging="241"/>
      </w:pPr>
      <w:rPr>
        <w:rFonts w:hint="default"/>
        <w:lang w:val="en-US" w:eastAsia="zh-tw" w:bidi="ar-SA"/>
      </w:rPr>
    </w:lvl>
  </w:abstractNum>
  <w:abstractNum w:abstractNumId="9">
    <w:multiLevelType w:val="hybridMultilevel"/>
    <w:lvl w:ilvl="0">
      <w:start w:val="1"/>
      <w:numFmt w:val="decimal"/>
      <w:lvlText w:val="%1."/>
      <w:lvlJc w:val="left"/>
      <w:pPr>
        <w:ind w:left="3121" w:hanging="36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924" w:hanging="360"/>
      </w:pPr>
      <w:rPr>
        <w:rFonts w:hint="default"/>
        <w:lang w:val="en-US" w:eastAsia="zh-tw" w:bidi="ar-SA"/>
      </w:rPr>
    </w:lvl>
    <w:lvl w:ilvl="2">
      <w:start w:val="0"/>
      <w:numFmt w:val="bullet"/>
      <w:lvlText w:val="•"/>
      <w:lvlJc w:val="left"/>
      <w:pPr>
        <w:ind w:left="4729" w:hanging="360"/>
      </w:pPr>
      <w:rPr>
        <w:rFonts w:hint="default"/>
        <w:lang w:val="en-US" w:eastAsia="zh-tw" w:bidi="ar-SA"/>
      </w:rPr>
    </w:lvl>
    <w:lvl w:ilvl="3">
      <w:start w:val="0"/>
      <w:numFmt w:val="bullet"/>
      <w:lvlText w:val="•"/>
      <w:lvlJc w:val="left"/>
      <w:pPr>
        <w:ind w:left="5533" w:hanging="360"/>
      </w:pPr>
      <w:rPr>
        <w:rFonts w:hint="default"/>
        <w:lang w:val="en-US" w:eastAsia="zh-tw" w:bidi="ar-SA"/>
      </w:rPr>
    </w:lvl>
    <w:lvl w:ilvl="4">
      <w:start w:val="0"/>
      <w:numFmt w:val="bullet"/>
      <w:lvlText w:val="•"/>
      <w:lvlJc w:val="left"/>
      <w:pPr>
        <w:ind w:left="6338" w:hanging="360"/>
      </w:pPr>
      <w:rPr>
        <w:rFonts w:hint="default"/>
        <w:lang w:val="en-US" w:eastAsia="zh-tw" w:bidi="ar-SA"/>
      </w:rPr>
    </w:lvl>
    <w:lvl w:ilvl="5">
      <w:start w:val="0"/>
      <w:numFmt w:val="bullet"/>
      <w:lvlText w:val="•"/>
      <w:lvlJc w:val="left"/>
      <w:pPr>
        <w:ind w:left="7143" w:hanging="360"/>
      </w:pPr>
      <w:rPr>
        <w:rFonts w:hint="default"/>
        <w:lang w:val="en-US" w:eastAsia="zh-tw" w:bidi="ar-SA"/>
      </w:rPr>
    </w:lvl>
    <w:lvl w:ilvl="6">
      <w:start w:val="0"/>
      <w:numFmt w:val="bullet"/>
      <w:lvlText w:val="•"/>
      <w:lvlJc w:val="left"/>
      <w:pPr>
        <w:ind w:left="7947" w:hanging="360"/>
      </w:pPr>
      <w:rPr>
        <w:rFonts w:hint="default"/>
        <w:lang w:val="en-US" w:eastAsia="zh-tw" w:bidi="ar-SA"/>
      </w:rPr>
    </w:lvl>
    <w:lvl w:ilvl="7">
      <w:start w:val="0"/>
      <w:numFmt w:val="bullet"/>
      <w:lvlText w:val="•"/>
      <w:lvlJc w:val="left"/>
      <w:pPr>
        <w:ind w:left="8752" w:hanging="360"/>
      </w:pPr>
      <w:rPr>
        <w:rFonts w:hint="default"/>
        <w:lang w:val="en-US" w:eastAsia="zh-tw" w:bidi="ar-SA"/>
      </w:rPr>
    </w:lvl>
    <w:lvl w:ilvl="8">
      <w:start w:val="0"/>
      <w:numFmt w:val="bullet"/>
      <w:lvlText w:val="•"/>
      <w:lvlJc w:val="left"/>
      <w:pPr>
        <w:ind w:left="9557" w:hanging="360"/>
      </w:pPr>
      <w:rPr>
        <w:rFonts w:hint="default"/>
        <w:lang w:val="en-US" w:eastAsia="zh-tw" w:bidi="ar-SA"/>
      </w:rPr>
    </w:lvl>
  </w:abstractNum>
  <w:abstractNum w:abstractNumId="8">
    <w:multiLevelType w:val="hybridMultilevel"/>
    <w:lvl w:ilvl="0">
      <w:start w:val="1"/>
      <w:numFmt w:val="decimal"/>
      <w:lvlText w:val="%1."/>
      <w:lvlJc w:val="left"/>
      <w:pPr>
        <w:ind w:left="3121" w:hanging="36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924" w:hanging="360"/>
      </w:pPr>
      <w:rPr>
        <w:rFonts w:hint="default"/>
        <w:lang w:val="en-US" w:eastAsia="zh-tw" w:bidi="ar-SA"/>
      </w:rPr>
    </w:lvl>
    <w:lvl w:ilvl="2">
      <w:start w:val="0"/>
      <w:numFmt w:val="bullet"/>
      <w:lvlText w:val="•"/>
      <w:lvlJc w:val="left"/>
      <w:pPr>
        <w:ind w:left="4729" w:hanging="360"/>
      </w:pPr>
      <w:rPr>
        <w:rFonts w:hint="default"/>
        <w:lang w:val="en-US" w:eastAsia="zh-tw" w:bidi="ar-SA"/>
      </w:rPr>
    </w:lvl>
    <w:lvl w:ilvl="3">
      <w:start w:val="0"/>
      <w:numFmt w:val="bullet"/>
      <w:lvlText w:val="•"/>
      <w:lvlJc w:val="left"/>
      <w:pPr>
        <w:ind w:left="5533" w:hanging="360"/>
      </w:pPr>
      <w:rPr>
        <w:rFonts w:hint="default"/>
        <w:lang w:val="en-US" w:eastAsia="zh-tw" w:bidi="ar-SA"/>
      </w:rPr>
    </w:lvl>
    <w:lvl w:ilvl="4">
      <w:start w:val="0"/>
      <w:numFmt w:val="bullet"/>
      <w:lvlText w:val="•"/>
      <w:lvlJc w:val="left"/>
      <w:pPr>
        <w:ind w:left="6338" w:hanging="360"/>
      </w:pPr>
      <w:rPr>
        <w:rFonts w:hint="default"/>
        <w:lang w:val="en-US" w:eastAsia="zh-tw" w:bidi="ar-SA"/>
      </w:rPr>
    </w:lvl>
    <w:lvl w:ilvl="5">
      <w:start w:val="0"/>
      <w:numFmt w:val="bullet"/>
      <w:lvlText w:val="•"/>
      <w:lvlJc w:val="left"/>
      <w:pPr>
        <w:ind w:left="7143" w:hanging="360"/>
      </w:pPr>
      <w:rPr>
        <w:rFonts w:hint="default"/>
        <w:lang w:val="en-US" w:eastAsia="zh-tw" w:bidi="ar-SA"/>
      </w:rPr>
    </w:lvl>
    <w:lvl w:ilvl="6">
      <w:start w:val="0"/>
      <w:numFmt w:val="bullet"/>
      <w:lvlText w:val="•"/>
      <w:lvlJc w:val="left"/>
      <w:pPr>
        <w:ind w:left="7947" w:hanging="360"/>
      </w:pPr>
      <w:rPr>
        <w:rFonts w:hint="default"/>
        <w:lang w:val="en-US" w:eastAsia="zh-tw" w:bidi="ar-SA"/>
      </w:rPr>
    </w:lvl>
    <w:lvl w:ilvl="7">
      <w:start w:val="0"/>
      <w:numFmt w:val="bullet"/>
      <w:lvlText w:val="•"/>
      <w:lvlJc w:val="left"/>
      <w:pPr>
        <w:ind w:left="8752" w:hanging="360"/>
      </w:pPr>
      <w:rPr>
        <w:rFonts w:hint="default"/>
        <w:lang w:val="en-US" w:eastAsia="zh-tw" w:bidi="ar-SA"/>
      </w:rPr>
    </w:lvl>
    <w:lvl w:ilvl="8">
      <w:start w:val="0"/>
      <w:numFmt w:val="bullet"/>
      <w:lvlText w:val="•"/>
      <w:lvlJc w:val="left"/>
      <w:pPr>
        <w:ind w:left="9557" w:hanging="360"/>
      </w:pPr>
      <w:rPr>
        <w:rFonts w:hint="default"/>
        <w:lang w:val="en-US" w:eastAsia="zh-tw" w:bidi="ar-SA"/>
      </w:rPr>
    </w:lvl>
  </w:abstractNum>
  <w:abstractNum w:abstractNumId="7">
    <w:multiLevelType w:val="hybridMultilevel"/>
    <w:lvl w:ilvl="0">
      <w:start w:val="1"/>
      <w:numFmt w:val="decimal"/>
      <w:lvlText w:val="%1."/>
      <w:lvlJc w:val="left"/>
      <w:pPr>
        <w:ind w:left="3121" w:hanging="36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924" w:hanging="360"/>
      </w:pPr>
      <w:rPr>
        <w:rFonts w:hint="default"/>
        <w:lang w:val="en-US" w:eastAsia="zh-tw" w:bidi="ar-SA"/>
      </w:rPr>
    </w:lvl>
    <w:lvl w:ilvl="2">
      <w:start w:val="0"/>
      <w:numFmt w:val="bullet"/>
      <w:lvlText w:val="•"/>
      <w:lvlJc w:val="left"/>
      <w:pPr>
        <w:ind w:left="4729" w:hanging="360"/>
      </w:pPr>
      <w:rPr>
        <w:rFonts w:hint="default"/>
        <w:lang w:val="en-US" w:eastAsia="zh-tw" w:bidi="ar-SA"/>
      </w:rPr>
    </w:lvl>
    <w:lvl w:ilvl="3">
      <w:start w:val="0"/>
      <w:numFmt w:val="bullet"/>
      <w:lvlText w:val="•"/>
      <w:lvlJc w:val="left"/>
      <w:pPr>
        <w:ind w:left="5533" w:hanging="360"/>
      </w:pPr>
      <w:rPr>
        <w:rFonts w:hint="default"/>
        <w:lang w:val="en-US" w:eastAsia="zh-tw" w:bidi="ar-SA"/>
      </w:rPr>
    </w:lvl>
    <w:lvl w:ilvl="4">
      <w:start w:val="0"/>
      <w:numFmt w:val="bullet"/>
      <w:lvlText w:val="•"/>
      <w:lvlJc w:val="left"/>
      <w:pPr>
        <w:ind w:left="6338" w:hanging="360"/>
      </w:pPr>
      <w:rPr>
        <w:rFonts w:hint="default"/>
        <w:lang w:val="en-US" w:eastAsia="zh-tw" w:bidi="ar-SA"/>
      </w:rPr>
    </w:lvl>
    <w:lvl w:ilvl="5">
      <w:start w:val="0"/>
      <w:numFmt w:val="bullet"/>
      <w:lvlText w:val="•"/>
      <w:lvlJc w:val="left"/>
      <w:pPr>
        <w:ind w:left="7143" w:hanging="360"/>
      </w:pPr>
      <w:rPr>
        <w:rFonts w:hint="default"/>
        <w:lang w:val="en-US" w:eastAsia="zh-tw" w:bidi="ar-SA"/>
      </w:rPr>
    </w:lvl>
    <w:lvl w:ilvl="6">
      <w:start w:val="0"/>
      <w:numFmt w:val="bullet"/>
      <w:lvlText w:val="•"/>
      <w:lvlJc w:val="left"/>
      <w:pPr>
        <w:ind w:left="7947" w:hanging="360"/>
      </w:pPr>
      <w:rPr>
        <w:rFonts w:hint="default"/>
        <w:lang w:val="en-US" w:eastAsia="zh-tw" w:bidi="ar-SA"/>
      </w:rPr>
    </w:lvl>
    <w:lvl w:ilvl="7">
      <w:start w:val="0"/>
      <w:numFmt w:val="bullet"/>
      <w:lvlText w:val="•"/>
      <w:lvlJc w:val="left"/>
      <w:pPr>
        <w:ind w:left="8752" w:hanging="360"/>
      </w:pPr>
      <w:rPr>
        <w:rFonts w:hint="default"/>
        <w:lang w:val="en-US" w:eastAsia="zh-tw" w:bidi="ar-SA"/>
      </w:rPr>
    </w:lvl>
    <w:lvl w:ilvl="8">
      <w:start w:val="0"/>
      <w:numFmt w:val="bullet"/>
      <w:lvlText w:val="•"/>
      <w:lvlJc w:val="left"/>
      <w:pPr>
        <w:ind w:left="9557" w:hanging="360"/>
      </w:pPr>
      <w:rPr>
        <w:rFonts w:hint="default"/>
        <w:lang w:val="en-US" w:eastAsia="zh-tw" w:bidi="ar-SA"/>
      </w:rPr>
    </w:lvl>
  </w:abstractNum>
  <w:abstractNum w:abstractNumId="6">
    <w:multiLevelType w:val="hybridMultilevel"/>
    <w:lvl w:ilvl="0">
      <w:start w:val="1"/>
      <w:numFmt w:val="decimal"/>
      <w:lvlText w:val="%1."/>
      <w:lvlJc w:val="left"/>
      <w:pPr>
        <w:ind w:left="3121" w:hanging="36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1"/>
      <w:numFmt w:val="decimal"/>
      <w:lvlText w:val="(%2)"/>
      <w:lvlJc w:val="left"/>
      <w:pPr>
        <w:ind w:left="3478" w:hanging="281"/>
        <w:jc w:val="left"/>
      </w:pPr>
      <w:rPr>
        <w:rFonts w:hint="default" w:ascii="Times New Roman" w:hAnsi="Times New Roman" w:eastAsia="Times New Roman" w:cs="Times New Roman"/>
        <w:b w:val="0"/>
        <w:bCs w:val="0"/>
        <w:i w:val="0"/>
        <w:iCs w:val="0"/>
        <w:spacing w:val="-2"/>
        <w:w w:val="100"/>
        <w:sz w:val="22"/>
        <w:szCs w:val="22"/>
        <w:lang w:val="en-US" w:eastAsia="zh-tw" w:bidi="ar-SA"/>
      </w:rPr>
    </w:lvl>
    <w:lvl w:ilvl="2">
      <w:start w:val="0"/>
      <w:numFmt w:val="bullet"/>
      <w:lvlText w:val="•"/>
      <w:lvlJc w:val="left"/>
      <w:pPr>
        <w:ind w:left="4334" w:hanging="281"/>
      </w:pPr>
      <w:rPr>
        <w:rFonts w:hint="default"/>
        <w:lang w:val="en-US" w:eastAsia="zh-tw" w:bidi="ar-SA"/>
      </w:rPr>
    </w:lvl>
    <w:lvl w:ilvl="3">
      <w:start w:val="0"/>
      <w:numFmt w:val="bullet"/>
      <w:lvlText w:val="•"/>
      <w:lvlJc w:val="left"/>
      <w:pPr>
        <w:ind w:left="5188" w:hanging="281"/>
      </w:pPr>
      <w:rPr>
        <w:rFonts w:hint="default"/>
        <w:lang w:val="en-US" w:eastAsia="zh-tw" w:bidi="ar-SA"/>
      </w:rPr>
    </w:lvl>
    <w:lvl w:ilvl="4">
      <w:start w:val="0"/>
      <w:numFmt w:val="bullet"/>
      <w:lvlText w:val="•"/>
      <w:lvlJc w:val="left"/>
      <w:pPr>
        <w:ind w:left="6042" w:hanging="281"/>
      </w:pPr>
      <w:rPr>
        <w:rFonts w:hint="default"/>
        <w:lang w:val="en-US" w:eastAsia="zh-tw" w:bidi="ar-SA"/>
      </w:rPr>
    </w:lvl>
    <w:lvl w:ilvl="5">
      <w:start w:val="0"/>
      <w:numFmt w:val="bullet"/>
      <w:lvlText w:val="•"/>
      <w:lvlJc w:val="left"/>
      <w:pPr>
        <w:ind w:left="6896" w:hanging="281"/>
      </w:pPr>
      <w:rPr>
        <w:rFonts w:hint="default"/>
        <w:lang w:val="en-US" w:eastAsia="zh-tw" w:bidi="ar-SA"/>
      </w:rPr>
    </w:lvl>
    <w:lvl w:ilvl="6">
      <w:start w:val="0"/>
      <w:numFmt w:val="bullet"/>
      <w:lvlText w:val="•"/>
      <w:lvlJc w:val="left"/>
      <w:pPr>
        <w:ind w:left="7750" w:hanging="281"/>
      </w:pPr>
      <w:rPr>
        <w:rFonts w:hint="default"/>
        <w:lang w:val="en-US" w:eastAsia="zh-tw" w:bidi="ar-SA"/>
      </w:rPr>
    </w:lvl>
    <w:lvl w:ilvl="7">
      <w:start w:val="0"/>
      <w:numFmt w:val="bullet"/>
      <w:lvlText w:val="•"/>
      <w:lvlJc w:val="left"/>
      <w:pPr>
        <w:ind w:left="8604" w:hanging="281"/>
      </w:pPr>
      <w:rPr>
        <w:rFonts w:hint="default"/>
        <w:lang w:val="en-US" w:eastAsia="zh-tw" w:bidi="ar-SA"/>
      </w:rPr>
    </w:lvl>
    <w:lvl w:ilvl="8">
      <w:start w:val="0"/>
      <w:numFmt w:val="bullet"/>
      <w:lvlText w:val="•"/>
      <w:lvlJc w:val="left"/>
      <w:pPr>
        <w:ind w:left="9458" w:hanging="281"/>
      </w:pPr>
      <w:rPr>
        <w:rFonts w:hint="default"/>
        <w:lang w:val="en-US" w:eastAsia="zh-tw" w:bidi="ar-SA"/>
      </w:rPr>
    </w:lvl>
  </w:abstractNum>
  <w:abstractNum w:abstractNumId="5">
    <w:multiLevelType w:val="hybridMultilevel"/>
    <w:lvl w:ilvl="0">
      <w:start w:val="1"/>
      <w:numFmt w:val="decimal"/>
      <w:lvlText w:val="(%1)"/>
      <w:lvlJc w:val="left"/>
      <w:pPr>
        <w:ind w:left="530" w:hanging="425"/>
        <w:jc w:val="left"/>
      </w:pPr>
      <w:rPr>
        <w:rFonts w:hint="default" w:ascii="Times New Roman" w:hAnsi="Times New Roman" w:eastAsia="Times New Roman" w:cs="Times New Roman"/>
        <w:b w:val="0"/>
        <w:bCs w:val="0"/>
        <w:i w:val="0"/>
        <w:iCs w:val="0"/>
        <w:w w:val="99"/>
        <w:sz w:val="24"/>
        <w:szCs w:val="24"/>
        <w:lang w:val="en-US" w:eastAsia="zh-tw" w:bidi="ar-SA"/>
      </w:rPr>
    </w:lvl>
    <w:lvl w:ilvl="1">
      <w:start w:val="0"/>
      <w:numFmt w:val="bullet"/>
      <w:lvlText w:val="•"/>
      <w:lvlJc w:val="left"/>
      <w:pPr>
        <w:ind w:left="749" w:hanging="425"/>
      </w:pPr>
      <w:rPr>
        <w:rFonts w:hint="default"/>
        <w:lang w:val="en-US" w:eastAsia="zh-tw" w:bidi="ar-SA"/>
      </w:rPr>
    </w:lvl>
    <w:lvl w:ilvl="2">
      <w:start w:val="0"/>
      <w:numFmt w:val="bullet"/>
      <w:lvlText w:val="•"/>
      <w:lvlJc w:val="left"/>
      <w:pPr>
        <w:ind w:left="959" w:hanging="425"/>
      </w:pPr>
      <w:rPr>
        <w:rFonts w:hint="default"/>
        <w:lang w:val="en-US" w:eastAsia="zh-tw" w:bidi="ar-SA"/>
      </w:rPr>
    </w:lvl>
    <w:lvl w:ilvl="3">
      <w:start w:val="0"/>
      <w:numFmt w:val="bullet"/>
      <w:lvlText w:val="•"/>
      <w:lvlJc w:val="left"/>
      <w:pPr>
        <w:ind w:left="1169" w:hanging="425"/>
      </w:pPr>
      <w:rPr>
        <w:rFonts w:hint="default"/>
        <w:lang w:val="en-US" w:eastAsia="zh-tw" w:bidi="ar-SA"/>
      </w:rPr>
    </w:lvl>
    <w:lvl w:ilvl="4">
      <w:start w:val="0"/>
      <w:numFmt w:val="bullet"/>
      <w:lvlText w:val="•"/>
      <w:lvlJc w:val="left"/>
      <w:pPr>
        <w:ind w:left="1379" w:hanging="425"/>
      </w:pPr>
      <w:rPr>
        <w:rFonts w:hint="default"/>
        <w:lang w:val="en-US" w:eastAsia="zh-tw" w:bidi="ar-SA"/>
      </w:rPr>
    </w:lvl>
    <w:lvl w:ilvl="5">
      <w:start w:val="0"/>
      <w:numFmt w:val="bullet"/>
      <w:lvlText w:val="•"/>
      <w:lvlJc w:val="left"/>
      <w:pPr>
        <w:ind w:left="1589" w:hanging="425"/>
      </w:pPr>
      <w:rPr>
        <w:rFonts w:hint="default"/>
        <w:lang w:val="en-US" w:eastAsia="zh-tw" w:bidi="ar-SA"/>
      </w:rPr>
    </w:lvl>
    <w:lvl w:ilvl="6">
      <w:start w:val="0"/>
      <w:numFmt w:val="bullet"/>
      <w:lvlText w:val="•"/>
      <w:lvlJc w:val="left"/>
      <w:pPr>
        <w:ind w:left="1799" w:hanging="425"/>
      </w:pPr>
      <w:rPr>
        <w:rFonts w:hint="default"/>
        <w:lang w:val="en-US" w:eastAsia="zh-tw" w:bidi="ar-SA"/>
      </w:rPr>
    </w:lvl>
    <w:lvl w:ilvl="7">
      <w:start w:val="0"/>
      <w:numFmt w:val="bullet"/>
      <w:lvlText w:val="•"/>
      <w:lvlJc w:val="left"/>
      <w:pPr>
        <w:ind w:left="2008" w:hanging="425"/>
      </w:pPr>
      <w:rPr>
        <w:rFonts w:hint="default"/>
        <w:lang w:val="en-US" w:eastAsia="zh-tw" w:bidi="ar-SA"/>
      </w:rPr>
    </w:lvl>
    <w:lvl w:ilvl="8">
      <w:start w:val="0"/>
      <w:numFmt w:val="bullet"/>
      <w:lvlText w:val="•"/>
      <w:lvlJc w:val="left"/>
      <w:pPr>
        <w:ind w:left="2218" w:hanging="425"/>
      </w:pPr>
      <w:rPr>
        <w:rFonts w:hint="default"/>
        <w:lang w:val="en-US" w:eastAsia="zh-tw" w:bidi="ar-SA"/>
      </w:rPr>
    </w:lvl>
  </w:abstractNum>
  <w:abstractNum w:abstractNumId="4">
    <w:multiLevelType w:val="hybridMultilevel"/>
    <w:lvl w:ilvl="0">
      <w:start w:val="1"/>
      <w:numFmt w:val="decimal"/>
      <w:lvlText w:val="(%1)"/>
      <w:lvlJc w:val="left"/>
      <w:pPr>
        <w:ind w:left="564" w:hanging="428"/>
        <w:jc w:val="left"/>
      </w:pPr>
      <w:rPr>
        <w:rFonts w:hint="default" w:ascii="標楷體" w:hAnsi="標楷體" w:eastAsia="標楷體" w:cs="標楷體"/>
        <w:b w:val="0"/>
        <w:bCs w:val="0"/>
        <w:i w:val="0"/>
        <w:iCs w:val="0"/>
        <w:w w:val="100"/>
        <w:sz w:val="24"/>
        <w:szCs w:val="24"/>
        <w:lang w:val="en-US" w:eastAsia="zh-tw" w:bidi="ar-SA"/>
      </w:rPr>
    </w:lvl>
    <w:lvl w:ilvl="1">
      <w:start w:val="0"/>
      <w:numFmt w:val="bullet"/>
      <w:lvlText w:val="•"/>
      <w:lvlJc w:val="left"/>
      <w:pPr>
        <w:ind w:left="841" w:hanging="428"/>
      </w:pPr>
      <w:rPr>
        <w:rFonts w:hint="default"/>
        <w:lang w:val="en-US" w:eastAsia="zh-tw" w:bidi="ar-SA"/>
      </w:rPr>
    </w:lvl>
    <w:lvl w:ilvl="2">
      <w:start w:val="0"/>
      <w:numFmt w:val="bullet"/>
      <w:lvlText w:val="•"/>
      <w:lvlJc w:val="left"/>
      <w:pPr>
        <w:ind w:left="1123" w:hanging="428"/>
      </w:pPr>
      <w:rPr>
        <w:rFonts w:hint="default"/>
        <w:lang w:val="en-US" w:eastAsia="zh-tw" w:bidi="ar-SA"/>
      </w:rPr>
    </w:lvl>
    <w:lvl w:ilvl="3">
      <w:start w:val="0"/>
      <w:numFmt w:val="bullet"/>
      <w:lvlText w:val="•"/>
      <w:lvlJc w:val="left"/>
      <w:pPr>
        <w:ind w:left="1404" w:hanging="428"/>
      </w:pPr>
      <w:rPr>
        <w:rFonts w:hint="default"/>
        <w:lang w:val="en-US" w:eastAsia="zh-tw" w:bidi="ar-SA"/>
      </w:rPr>
    </w:lvl>
    <w:lvl w:ilvl="4">
      <w:start w:val="0"/>
      <w:numFmt w:val="bullet"/>
      <w:lvlText w:val="•"/>
      <w:lvlJc w:val="left"/>
      <w:pPr>
        <w:ind w:left="1686" w:hanging="428"/>
      </w:pPr>
      <w:rPr>
        <w:rFonts w:hint="default"/>
        <w:lang w:val="en-US" w:eastAsia="zh-tw" w:bidi="ar-SA"/>
      </w:rPr>
    </w:lvl>
    <w:lvl w:ilvl="5">
      <w:start w:val="0"/>
      <w:numFmt w:val="bullet"/>
      <w:lvlText w:val="•"/>
      <w:lvlJc w:val="left"/>
      <w:pPr>
        <w:ind w:left="1967" w:hanging="428"/>
      </w:pPr>
      <w:rPr>
        <w:rFonts w:hint="default"/>
        <w:lang w:val="en-US" w:eastAsia="zh-tw" w:bidi="ar-SA"/>
      </w:rPr>
    </w:lvl>
    <w:lvl w:ilvl="6">
      <w:start w:val="0"/>
      <w:numFmt w:val="bullet"/>
      <w:lvlText w:val="•"/>
      <w:lvlJc w:val="left"/>
      <w:pPr>
        <w:ind w:left="2249" w:hanging="428"/>
      </w:pPr>
      <w:rPr>
        <w:rFonts w:hint="default"/>
        <w:lang w:val="en-US" w:eastAsia="zh-tw" w:bidi="ar-SA"/>
      </w:rPr>
    </w:lvl>
    <w:lvl w:ilvl="7">
      <w:start w:val="0"/>
      <w:numFmt w:val="bullet"/>
      <w:lvlText w:val="•"/>
      <w:lvlJc w:val="left"/>
      <w:pPr>
        <w:ind w:left="2530" w:hanging="428"/>
      </w:pPr>
      <w:rPr>
        <w:rFonts w:hint="default"/>
        <w:lang w:val="en-US" w:eastAsia="zh-tw" w:bidi="ar-SA"/>
      </w:rPr>
    </w:lvl>
    <w:lvl w:ilvl="8">
      <w:start w:val="0"/>
      <w:numFmt w:val="bullet"/>
      <w:lvlText w:val="•"/>
      <w:lvlJc w:val="left"/>
      <w:pPr>
        <w:ind w:left="2812" w:hanging="428"/>
      </w:pPr>
      <w:rPr>
        <w:rFonts w:hint="default"/>
        <w:lang w:val="en-US" w:eastAsia="zh-tw" w:bidi="ar-SA"/>
      </w:rPr>
    </w:lvl>
  </w:abstractNum>
  <w:abstractNum w:abstractNumId="3">
    <w:multiLevelType w:val="hybridMultilevel"/>
    <w:lvl w:ilvl="0">
      <w:start w:val="1"/>
      <w:numFmt w:val="decimal"/>
      <w:lvlText w:val="(%1)"/>
      <w:lvlJc w:val="left"/>
      <w:pPr>
        <w:ind w:left="593" w:hanging="480"/>
        <w:jc w:val="left"/>
      </w:pPr>
      <w:rPr>
        <w:rFonts w:hint="default" w:ascii="Times New Roman" w:hAnsi="Times New Roman" w:eastAsia="Times New Roman" w:cs="Times New Roman"/>
        <w:b w:val="0"/>
        <w:bCs w:val="0"/>
        <w:i w:val="0"/>
        <w:iCs w:val="0"/>
        <w:w w:val="99"/>
        <w:sz w:val="24"/>
        <w:szCs w:val="24"/>
        <w:lang w:val="en-US" w:eastAsia="zh-tw" w:bidi="ar-SA"/>
      </w:rPr>
    </w:lvl>
    <w:lvl w:ilvl="1">
      <w:start w:val="0"/>
      <w:numFmt w:val="bullet"/>
      <w:lvlText w:val="•"/>
      <w:lvlJc w:val="left"/>
      <w:pPr>
        <w:ind w:left="877" w:hanging="480"/>
      </w:pPr>
      <w:rPr>
        <w:rFonts w:hint="default"/>
        <w:lang w:val="en-US" w:eastAsia="zh-tw" w:bidi="ar-SA"/>
      </w:rPr>
    </w:lvl>
    <w:lvl w:ilvl="2">
      <w:start w:val="0"/>
      <w:numFmt w:val="bullet"/>
      <w:lvlText w:val="•"/>
      <w:lvlJc w:val="left"/>
      <w:pPr>
        <w:ind w:left="1155" w:hanging="480"/>
      </w:pPr>
      <w:rPr>
        <w:rFonts w:hint="default"/>
        <w:lang w:val="en-US" w:eastAsia="zh-tw" w:bidi="ar-SA"/>
      </w:rPr>
    </w:lvl>
    <w:lvl w:ilvl="3">
      <w:start w:val="0"/>
      <w:numFmt w:val="bullet"/>
      <w:lvlText w:val="•"/>
      <w:lvlJc w:val="left"/>
      <w:pPr>
        <w:ind w:left="1432" w:hanging="480"/>
      </w:pPr>
      <w:rPr>
        <w:rFonts w:hint="default"/>
        <w:lang w:val="en-US" w:eastAsia="zh-tw" w:bidi="ar-SA"/>
      </w:rPr>
    </w:lvl>
    <w:lvl w:ilvl="4">
      <w:start w:val="0"/>
      <w:numFmt w:val="bullet"/>
      <w:lvlText w:val="•"/>
      <w:lvlJc w:val="left"/>
      <w:pPr>
        <w:ind w:left="1710" w:hanging="480"/>
      </w:pPr>
      <w:rPr>
        <w:rFonts w:hint="default"/>
        <w:lang w:val="en-US" w:eastAsia="zh-tw" w:bidi="ar-SA"/>
      </w:rPr>
    </w:lvl>
    <w:lvl w:ilvl="5">
      <w:start w:val="0"/>
      <w:numFmt w:val="bullet"/>
      <w:lvlText w:val="•"/>
      <w:lvlJc w:val="left"/>
      <w:pPr>
        <w:ind w:left="1987" w:hanging="480"/>
      </w:pPr>
      <w:rPr>
        <w:rFonts w:hint="default"/>
        <w:lang w:val="en-US" w:eastAsia="zh-tw" w:bidi="ar-SA"/>
      </w:rPr>
    </w:lvl>
    <w:lvl w:ilvl="6">
      <w:start w:val="0"/>
      <w:numFmt w:val="bullet"/>
      <w:lvlText w:val="•"/>
      <w:lvlJc w:val="left"/>
      <w:pPr>
        <w:ind w:left="2265" w:hanging="480"/>
      </w:pPr>
      <w:rPr>
        <w:rFonts w:hint="default"/>
        <w:lang w:val="en-US" w:eastAsia="zh-tw" w:bidi="ar-SA"/>
      </w:rPr>
    </w:lvl>
    <w:lvl w:ilvl="7">
      <w:start w:val="0"/>
      <w:numFmt w:val="bullet"/>
      <w:lvlText w:val="•"/>
      <w:lvlJc w:val="left"/>
      <w:pPr>
        <w:ind w:left="2542" w:hanging="480"/>
      </w:pPr>
      <w:rPr>
        <w:rFonts w:hint="default"/>
        <w:lang w:val="en-US" w:eastAsia="zh-tw" w:bidi="ar-SA"/>
      </w:rPr>
    </w:lvl>
    <w:lvl w:ilvl="8">
      <w:start w:val="0"/>
      <w:numFmt w:val="bullet"/>
      <w:lvlText w:val="•"/>
      <w:lvlJc w:val="left"/>
      <w:pPr>
        <w:ind w:left="2820" w:hanging="480"/>
      </w:pPr>
      <w:rPr>
        <w:rFonts w:hint="default"/>
        <w:lang w:val="en-US" w:eastAsia="zh-tw" w:bidi="ar-SA"/>
      </w:rPr>
    </w:lvl>
  </w:abstractNum>
  <w:abstractNum w:abstractNumId="2">
    <w:multiLevelType w:val="hybridMultilevel"/>
    <w:lvl w:ilvl="0">
      <w:start w:val="1"/>
      <w:numFmt w:val="decimal"/>
      <w:lvlText w:val="(%1)"/>
      <w:lvlJc w:val="left"/>
      <w:pPr>
        <w:ind w:left="593" w:hanging="480"/>
        <w:jc w:val="left"/>
      </w:pPr>
      <w:rPr>
        <w:rFonts w:hint="default" w:ascii="Times New Roman" w:hAnsi="Times New Roman" w:eastAsia="Times New Roman" w:cs="Times New Roman"/>
        <w:b w:val="0"/>
        <w:bCs w:val="0"/>
        <w:i w:val="0"/>
        <w:iCs w:val="0"/>
        <w:w w:val="99"/>
        <w:sz w:val="24"/>
        <w:szCs w:val="24"/>
        <w:lang w:val="en-US" w:eastAsia="zh-tw" w:bidi="ar-SA"/>
      </w:rPr>
    </w:lvl>
    <w:lvl w:ilvl="1">
      <w:start w:val="0"/>
      <w:numFmt w:val="bullet"/>
      <w:lvlText w:val="•"/>
      <w:lvlJc w:val="left"/>
      <w:pPr>
        <w:ind w:left="877" w:hanging="480"/>
      </w:pPr>
      <w:rPr>
        <w:rFonts w:hint="default"/>
        <w:lang w:val="en-US" w:eastAsia="zh-tw" w:bidi="ar-SA"/>
      </w:rPr>
    </w:lvl>
    <w:lvl w:ilvl="2">
      <w:start w:val="0"/>
      <w:numFmt w:val="bullet"/>
      <w:lvlText w:val="•"/>
      <w:lvlJc w:val="left"/>
      <w:pPr>
        <w:ind w:left="1155" w:hanging="480"/>
      </w:pPr>
      <w:rPr>
        <w:rFonts w:hint="default"/>
        <w:lang w:val="en-US" w:eastAsia="zh-tw" w:bidi="ar-SA"/>
      </w:rPr>
    </w:lvl>
    <w:lvl w:ilvl="3">
      <w:start w:val="0"/>
      <w:numFmt w:val="bullet"/>
      <w:lvlText w:val="•"/>
      <w:lvlJc w:val="left"/>
      <w:pPr>
        <w:ind w:left="1432" w:hanging="480"/>
      </w:pPr>
      <w:rPr>
        <w:rFonts w:hint="default"/>
        <w:lang w:val="en-US" w:eastAsia="zh-tw" w:bidi="ar-SA"/>
      </w:rPr>
    </w:lvl>
    <w:lvl w:ilvl="4">
      <w:start w:val="0"/>
      <w:numFmt w:val="bullet"/>
      <w:lvlText w:val="•"/>
      <w:lvlJc w:val="left"/>
      <w:pPr>
        <w:ind w:left="1710" w:hanging="480"/>
      </w:pPr>
      <w:rPr>
        <w:rFonts w:hint="default"/>
        <w:lang w:val="en-US" w:eastAsia="zh-tw" w:bidi="ar-SA"/>
      </w:rPr>
    </w:lvl>
    <w:lvl w:ilvl="5">
      <w:start w:val="0"/>
      <w:numFmt w:val="bullet"/>
      <w:lvlText w:val="•"/>
      <w:lvlJc w:val="left"/>
      <w:pPr>
        <w:ind w:left="1987" w:hanging="480"/>
      </w:pPr>
      <w:rPr>
        <w:rFonts w:hint="default"/>
        <w:lang w:val="en-US" w:eastAsia="zh-tw" w:bidi="ar-SA"/>
      </w:rPr>
    </w:lvl>
    <w:lvl w:ilvl="6">
      <w:start w:val="0"/>
      <w:numFmt w:val="bullet"/>
      <w:lvlText w:val="•"/>
      <w:lvlJc w:val="left"/>
      <w:pPr>
        <w:ind w:left="2265" w:hanging="480"/>
      </w:pPr>
      <w:rPr>
        <w:rFonts w:hint="default"/>
        <w:lang w:val="en-US" w:eastAsia="zh-tw" w:bidi="ar-SA"/>
      </w:rPr>
    </w:lvl>
    <w:lvl w:ilvl="7">
      <w:start w:val="0"/>
      <w:numFmt w:val="bullet"/>
      <w:lvlText w:val="•"/>
      <w:lvlJc w:val="left"/>
      <w:pPr>
        <w:ind w:left="2542" w:hanging="480"/>
      </w:pPr>
      <w:rPr>
        <w:rFonts w:hint="default"/>
        <w:lang w:val="en-US" w:eastAsia="zh-tw" w:bidi="ar-SA"/>
      </w:rPr>
    </w:lvl>
    <w:lvl w:ilvl="8">
      <w:start w:val="0"/>
      <w:numFmt w:val="bullet"/>
      <w:lvlText w:val="•"/>
      <w:lvlJc w:val="left"/>
      <w:pPr>
        <w:ind w:left="2820" w:hanging="480"/>
      </w:pPr>
      <w:rPr>
        <w:rFonts w:hint="default"/>
        <w:lang w:val="en-US" w:eastAsia="zh-tw" w:bidi="ar-SA"/>
      </w:rPr>
    </w:lvl>
  </w:abstractNum>
  <w:abstractNum w:abstractNumId="1">
    <w:multiLevelType w:val="hybridMultilevel"/>
    <w:lvl w:ilvl="0">
      <w:start w:val="1"/>
      <w:numFmt w:val="decimal"/>
      <w:lvlText w:val="(%1)"/>
      <w:lvlJc w:val="left"/>
      <w:pPr>
        <w:ind w:left="593" w:hanging="480"/>
        <w:jc w:val="left"/>
      </w:pPr>
      <w:rPr>
        <w:rFonts w:hint="default" w:ascii="Times New Roman" w:hAnsi="Times New Roman" w:eastAsia="Times New Roman" w:cs="Times New Roman"/>
        <w:b w:val="0"/>
        <w:bCs w:val="0"/>
        <w:i w:val="0"/>
        <w:iCs w:val="0"/>
        <w:w w:val="99"/>
        <w:sz w:val="24"/>
        <w:szCs w:val="24"/>
        <w:lang w:val="en-US" w:eastAsia="zh-tw" w:bidi="ar-SA"/>
      </w:rPr>
    </w:lvl>
    <w:lvl w:ilvl="1">
      <w:start w:val="0"/>
      <w:numFmt w:val="bullet"/>
      <w:lvlText w:val="•"/>
      <w:lvlJc w:val="left"/>
      <w:pPr>
        <w:ind w:left="877" w:hanging="480"/>
      </w:pPr>
      <w:rPr>
        <w:rFonts w:hint="default"/>
        <w:lang w:val="en-US" w:eastAsia="zh-tw" w:bidi="ar-SA"/>
      </w:rPr>
    </w:lvl>
    <w:lvl w:ilvl="2">
      <w:start w:val="0"/>
      <w:numFmt w:val="bullet"/>
      <w:lvlText w:val="•"/>
      <w:lvlJc w:val="left"/>
      <w:pPr>
        <w:ind w:left="1155" w:hanging="480"/>
      </w:pPr>
      <w:rPr>
        <w:rFonts w:hint="default"/>
        <w:lang w:val="en-US" w:eastAsia="zh-tw" w:bidi="ar-SA"/>
      </w:rPr>
    </w:lvl>
    <w:lvl w:ilvl="3">
      <w:start w:val="0"/>
      <w:numFmt w:val="bullet"/>
      <w:lvlText w:val="•"/>
      <w:lvlJc w:val="left"/>
      <w:pPr>
        <w:ind w:left="1432" w:hanging="480"/>
      </w:pPr>
      <w:rPr>
        <w:rFonts w:hint="default"/>
        <w:lang w:val="en-US" w:eastAsia="zh-tw" w:bidi="ar-SA"/>
      </w:rPr>
    </w:lvl>
    <w:lvl w:ilvl="4">
      <w:start w:val="0"/>
      <w:numFmt w:val="bullet"/>
      <w:lvlText w:val="•"/>
      <w:lvlJc w:val="left"/>
      <w:pPr>
        <w:ind w:left="1710" w:hanging="480"/>
      </w:pPr>
      <w:rPr>
        <w:rFonts w:hint="default"/>
        <w:lang w:val="en-US" w:eastAsia="zh-tw" w:bidi="ar-SA"/>
      </w:rPr>
    </w:lvl>
    <w:lvl w:ilvl="5">
      <w:start w:val="0"/>
      <w:numFmt w:val="bullet"/>
      <w:lvlText w:val="•"/>
      <w:lvlJc w:val="left"/>
      <w:pPr>
        <w:ind w:left="1987" w:hanging="480"/>
      </w:pPr>
      <w:rPr>
        <w:rFonts w:hint="default"/>
        <w:lang w:val="en-US" w:eastAsia="zh-tw" w:bidi="ar-SA"/>
      </w:rPr>
    </w:lvl>
    <w:lvl w:ilvl="6">
      <w:start w:val="0"/>
      <w:numFmt w:val="bullet"/>
      <w:lvlText w:val="•"/>
      <w:lvlJc w:val="left"/>
      <w:pPr>
        <w:ind w:left="2265" w:hanging="480"/>
      </w:pPr>
      <w:rPr>
        <w:rFonts w:hint="default"/>
        <w:lang w:val="en-US" w:eastAsia="zh-tw" w:bidi="ar-SA"/>
      </w:rPr>
    </w:lvl>
    <w:lvl w:ilvl="7">
      <w:start w:val="0"/>
      <w:numFmt w:val="bullet"/>
      <w:lvlText w:val="•"/>
      <w:lvlJc w:val="left"/>
      <w:pPr>
        <w:ind w:left="2542" w:hanging="480"/>
      </w:pPr>
      <w:rPr>
        <w:rFonts w:hint="default"/>
        <w:lang w:val="en-US" w:eastAsia="zh-tw" w:bidi="ar-SA"/>
      </w:rPr>
    </w:lvl>
    <w:lvl w:ilvl="8">
      <w:start w:val="0"/>
      <w:numFmt w:val="bullet"/>
      <w:lvlText w:val="•"/>
      <w:lvlJc w:val="left"/>
      <w:pPr>
        <w:ind w:left="2820" w:hanging="480"/>
      </w:pPr>
      <w:rPr>
        <w:rFonts w:hint="default"/>
        <w:lang w:val="en-US" w:eastAsia="zh-tw" w:bidi="ar-SA"/>
      </w:rPr>
    </w:lvl>
  </w:abstractNum>
  <w:abstractNum w:abstractNumId="0">
    <w:multiLevelType w:val="hybridMultilevel"/>
    <w:lvl w:ilvl="0">
      <w:start w:val="1"/>
      <w:numFmt w:val="decimal"/>
      <w:lvlText w:val="%1."/>
      <w:lvlJc w:val="left"/>
      <w:pPr>
        <w:ind w:left="3121" w:hanging="36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3924" w:hanging="360"/>
      </w:pPr>
      <w:rPr>
        <w:rFonts w:hint="default"/>
        <w:lang w:val="en-US" w:eastAsia="zh-tw" w:bidi="ar-SA"/>
      </w:rPr>
    </w:lvl>
    <w:lvl w:ilvl="2">
      <w:start w:val="0"/>
      <w:numFmt w:val="bullet"/>
      <w:lvlText w:val="•"/>
      <w:lvlJc w:val="left"/>
      <w:pPr>
        <w:ind w:left="4729" w:hanging="360"/>
      </w:pPr>
      <w:rPr>
        <w:rFonts w:hint="default"/>
        <w:lang w:val="en-US" w:eastAsia="zh-tw" w:bidi="ar-SA"/>
      </w:rPr>
    </w:lvl>
    <w:lvl w:ilvl="3">
      <w:start w:val="0"/>
      <w:numFmt w:val="bullet"/>
      <w:lvlText w:val="•"/>
      <w:lvlJc w:val="left"/>
      <w:pPr>
        <w:ind w:left="5533" w:hanging="360"/>
      </w:pPr>
      <w:rPr>
        <w:rFonts w:hint="default"/>
        <w:lang w:val="en-US" w:eastAsia="zh-tw" w:bidi="ar-SA"/>
      </w:rPr>
    </w:lvl>
    <w:lvl w:ilvl="4">
      <w:start w:val="0"/>
      <w:numFmt w:val="bullet"/>
      <w:lvlText w:val="•"/>
      <w:lvlJc w:val="left"/>
      <w:pPr>
        <w:ind w:left="6338" w:hanging="360"/>
      </w:pPr>
      <w:rPr>
        <w:rFonts w:hint="default"/>
        <w:lang w:val="en-US" w:eastAsia="zh-tw" w:bidi="ar-SA"/>
      </w:rPr>
    </w:lvl>
    <w:lvl w:ilvl="5">
      <w:start w:val="0"/>
      <w:numFmt w:val="bullet"/>
      <w:lvlText w:val="•"/>
      <w:lvlJc w:val="left"/>
      <w:pPr>
        <w:ind w:left="7143" w:hanging="360"/>
      </w:pPr>
      <w:rPr>
        <w:rFonts w:hint="default"/>
        <w:lang w:val="en-US" w:eastAsia="zh-tw" w:bidi="ar-SA"/>
      </w:rPr>
    </w:lvl>
    <w:lvl w:ilvl="6">
      <w:start w:val="0"/>
      <w:numFmt w:val="bullet"/>
      <w:lvlText w:val="•"/>
      <w:lvlJc w:val="left"/>
      <w:pPr>
        <w:ind w:left="7947" w:hanging="360"/>
      </w:pPr>
      <w:rPr>
        <w:rFonts w:hint="default"/>
        <w:lang w:val="en-US" w:eastAsia="zh-tw" w:bidi="ar-SA"/>
      </w:rPr>
    </w:lvl>
    <w:lvl w:ilvl="7">
      <w:start w:val="0"/>
      <w:numFmt w:val="bullet"/>
      <w:lvlText w:val="•"/>
      <w:lvlJc w:val="left"/>
      <w:pPr>
        <w:ind w:left="8752" w:hanging="360"/>
      </w:pPr>
      <w:rPr>
        <w:rFonts w:hint="default"/>
        <w:lang w:val="en-US" w:eastAsia="zh-tw" w:bidi="ar-SA"/>
      </w:rPr>
    </w:lvl>
    <w:lvl w:ilvl="8">
      <w:start w:val="0"/>
      <w:numFmt w:val="bullet"/>
      <w:lvlText w:val="•"/>
      <w:lvlJc w:val="left"/>
      <w:pPr>
        <w:ind w:left="9557" w:hanging="360"/>
      </w:pPr>
      <w:rPr>
        <w:rFonts w:hint="default"/>
        <w:lang w:val="en-US" w:eastAsia="zh-tw"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ind w:left="2905"/>
    </w:pPr>
    <w:rPr>
      <w:rFonts w:ascii="標楷體" w:hAnsi="標楷體" w:eastAsia="標楷體" w:cs="標楷體"/>
      <w:sz w:val="24"/>
      <w:szCs w:val="24"/>
      <w:lang w:val="en-US" w:eastAsia="zh-tw" w:bidi="ar-SA"/>
    </w:rPr>
  </w:style>
  <w:style w:styleId="Heading1" w:type="paragraph">
    <w:name w:val="Heading 1"/>
    <w:basedOn w:val="Normal"/>
    <w:uiPriority w:val="1"/>
    <w:qFormat/>
    <w:pPr>
      <w:spacing w:before="35"/>
      <w:ind w:left="1381" w:right="1496"/>
      <w:jc w:val="center"/>
      <w:outlineLvl w:val="1"/>
    </w:pPr>
    <w:rPr>
      <w:rFonts w:ascii="標楷體" w:hAnsi="標楷體" w:eastAsia="標楷體" w:cs="標楷體"/>
      <w:sz w:val="28"/>
      <w:szCs w:val="28"/>
      <w:lang w:val="en-US" w:eastAsia="zh-tw" w:bidi="ar-SA"/>
    </w:rPr>
  </w:style>
  <w:style w:styleId="Heading2" w:type="paragraph">
    <w:name w:val="Heading 2"/>
    <w:basedOn w:val="Normal"/>
    <w:uiPriority w:val="1"/>
    <w:qFormat/>
    <w:pPr>
      <w:spacing w:before="48"/>
      <w:ind w:left="1816" w:right="1496"/>
      <w:jc w:val="center"/>
      <w:outlineLvl w:val="2"/>
    </w:pPr>
    <w:rPr>
      <w:rFonts w:ascii="標楷體" w:hAnsi="標楷體" w:eastAsia="標楷體" w:cs="標楷體"/>
      <w:sz w:val="26"/>
      <w:szCs w:val="26"/>
      <w:lang w:val="en-US" w:eastAsia="zh-tw" w:bidi="ar-SA"/>
    </w:rPr>
  </w:style>
  <w:style w:styleId="ListParagraph" w:type="paragraph">
    <w:name w:val="List Paragraph"/>
    <w:basedOn w:val="Normal"/>
    <w:uiPriority w:val="1"/>
    <w:qFormat/>
    <w:pPr>
      <w:ind w:left="3121" w:hanging="360"/>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2023-10-12T11:21:01Z</dcterms:created>
  <dcterms:modified xsi:type="dcterms:W3CDTF">2023-10-12T11:21:01Z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2019</vt:lpwstr>
  </property>
  <property fmtid="{D5CDD505-2E9C-101B-9397-08002B2CF9AE}" pid="4" name="LastSaved">
    <vt:filetime>2023-10-12T00:00:00Z</vt:filetime>
  </property>
</Properties>
</file>