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AF" w:rsidRPr="00E357BE" w:rsidRDefault="00D62F27" w:rsidP="008D4914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 w:rsidRPr="00D62F27">
        <w:rPr>
          <w:rFonts w:ascii="標楷體" w:eastAsia="標楷體" w:hAnsi="標楷體" w:cs="標楷體" w:hint="eastAsia"/>
          <w:szCs w:val="24"/>
        </w:rPr>
        <w:t>評選委員編號:</w:t>
      </w:r>
      <w:r w:rsidR="00E83DF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D491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D4914">
        <w:rPr>
          <w:rFonts w:hint="eastAsia"/>
        </w:rPr>
        <w:t xml:space="preserve">   </w:t>
      </w:r>
      <w:r w:rsidR="00E83DF2"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proofErr w:type="gramStart"/>
      <w:r w:rsidR="00E1631E" w:rsidRPr="00E1631E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E1631E" w:rsidRPr="00E1631E">
        <w:rPr>
          <w:rFonts w:ascii="標楷體" w:eastAsia="標楷體" w:hAnsi="標楷體" w:cs="標楷體" w:hint="eastAsia"/>
          <w:sz w:val="28"/>
          <w:szCs w:val="28"/>
        </w:rPr>
        <w:t>中市</w:t>
      </w:r>
      <w:proofErr w:type="gramStart"/>
      <w:r w:rsidR="00E1631E" w:rsidRPr="00E1631E">
        <w:rPr>
          <w:rFonts w:ascii="標楷體" w:eastAsia="標楷體" w:hAnsi="標楷體" w:cs="標楷體" w:hint="eastAsia"/>
          <w:sz w:val="28"/>
          <w:szCs w:val="28"/>
        </w:rPr>
        <w:t>沙鹿區鹿陽國民</w:t>
      </w:r>
      <w:proofErr w:type="gramEnd"/>
      <w:r w:rsidR="00E1631E" w:rsidRPr="00E1631E">
        <w:rPr>
          <w:rFonts w:ascii="標楷體" w:eastAsia="標楷體" w:hAnsi="標楷體" w:cs="標楷體" w:hint="eastAsia"/>
          <w:sz w:val="28"/>
          <w:szCs w:val="28"/>
        </w:rPr>
        <w:t>小學第二期校舍新建工程</w:t>
      </w:r>
    </w:p>
    <w:p w:rsidR="007F24AF" w:rsidRPr="00923816" w:rsidRDefault="007F24AF" w:rsidP="007F24AF">
      <w:pPr>
        <w:spacing w:line="320" w:lineRule="exact"/>
        <w:jc w:val="center"/>
        <w:rPr>
          <w:rFonts w:eastAsia="標楷體"/>
          <w:sz w:val="28"/>
          <w:szCs w:val="28"/>
        </w:rPr>
      </w:pPr>
      <w:r w:rsidRPr="007F0B2F">
        <w:rPr>
          <w:rFonts w:eastAsia="標楷體" w:hint="eastAsia"/>
          <w:sz w:val="28"/>
          <w:szCs w:val="28"/>
        </w:rPr>
        <w:t>採購案</w:t>
      </w:r>
      <w:r>
        <w:rPr>
          <w:rFonts w:eastAsia="標楷體" w:hint="eastAsia"/>
          <w:sz w:val="28"/>
          <w:szCs w:val="28"/>
        </w:rPr>
        <w:t>廠商審查評分</w:t>
      </w:r>
      <w:r w:rsidRPr="00923816">
        <w:rPr>
          <w:rFonts w:eastAsia="標楷體"/>
          <w:sz w:val="28"/>
          <w:szCs w:val="28"/>
        </w:rPr>
        <w:t>表</w:t>
      </w:r>
    </w:p>
    <w:p w:rsidR="007F24AF" w:rsidRDefault="007F24AF" w:rsidP="00421F16">
      <w:pPr>
        <w:tabs>
          <w:tab w:val="left" w:pos="0"/>
        </w:tabs>
        <w:spacing w:line="320" w:lineRule="exact"/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日期：</w:t>
      </w:r>
      <w:r w:rsidR="00E357BE">
        <w:rPr>
          <w:rFonts w:ascii="標楷體" w:eastAsia="標楷體" w:hAnsi="標楷體" w:hint="eastAsia"/>
          <w:sz w:val="28"/>
          <w:szCs w:val="28"/>
        </w:rPr>
        <w:t>11</w:t>
      </w:r>
      <w:r w:rsidR="00A07475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16"/>
        <w:gridCol w:w="7299"/>
        <w:gridCol w:w="850"/>
        <w:gridCol w:w="1563"/>
        <w:gridCol w:w="1134"/>
        <w:gridCol w:w="2617"/>
      </w:tblGrid>
      <w:tr w:rsidR="00E33206" w:rsidTr="00465B75">
        <w:trPr>
          <w:cantSplit/>
          <w:trHeight w:val="65"/>
        </w:trPr>
        <w:tc>
          <w:tcPr>
            <w:tcW w:w="8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421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1F16">
              <w:rPr>
                <w:rFonts w:ascii="標楷體" w:eastAsia="標楷體" w:hAnsi="標楷體" w:hint="eastAsia"/>
                <w:sz w:val="28"/>
                <w:szCs w:val="28"/>
              </w:rPr>
              <w:t xml:space="preserve">審　查　</w:t>
            </w:r>
            <w:r w:rsidRPr="00421F16">
              <w:rPr>
                <w:rFonts w:ascii="標楷體" w:eastAsia="標楷體" w:hAnsi="標楷體"/>
                <w:sz w:val="28"/>
                <w:szCs w:val="28"/>
              </w:rPr>
              <w:t>項　目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/>
                <w:szCs w:val="24"/>
              </w:rPr>
              <w:t xml:space="preserve">參     與     </w:t>
            </w:r>
            <w:r>
              <w:rPr>
                <w:rFonts w:ascii="標楷體" w:eastAsia="標楷體" w:hAnsi="標楷體" w:hint="eastAsia"/>
                <w:szCs w:val="24"/>
              </w:rPr>
              <w:t>審    查</w:t>
            </w:r>
            <w:r w:rsidRPr="00923816">
              <w:rPr>
                <w:rFonts w:ascii="標楷體" w:eastAsia="標楷體" w:hAnsi="標楷體"/>
                <w:szCs w:val="24"/>
              </w:rPr>
              <w:t xml:space="preserve">     廠     商</w:t>
            </w:r>
          </w:p>
        </w:tc>
      </w:tr>
      <w:tr w:rsidR="00774488" w:rsidTr="00774488">
        <w:trPr>
          <w:cantSplit/>
          <w:trHeight w:val="65"/>
        </w:trPr>
        <w:tc>
          <w:tcPr>
            <w:tcW w:w="8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7744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23816" w:rsidRDefault="00774488" w:rsidP="00E332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74488" w:rsidTr="00774488">
        <w:trPr>
          <w:cantSplit/>
          <w:trHeight w:val="638"/>
        </w:trPr>
        <w:tc>
          <w:tcPr>
            <w:tcW w:w="88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112" w:hanging="1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4488" w:rsidRPr="00957B19" w:rsidTr="00774488">
        <w:trPr>
          <w:trHeight w:val="1399"/>
        </w:trPr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356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2356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235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履約能力及職業安全衛生之過去績效</w:t>
            </w:r>
          </w:p>
          <w:p w:rsidR="00774488" w:rsidRPr="00D05230" w:rsidRDefault="00774488" w:rsidP="00D05230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(25%)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年內依政府採購法第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103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條列為拒絕往來廠商之紀錄。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紀錄者核給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次以上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5(％)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547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D40ECF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(2)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年發生重大職災事件及獲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F22713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「扣分部分」有重大職災紀錄者每次扣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8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8(％)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966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年內施工查核紀錄及獲金質獎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以施工廠商資格得獎為限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40372C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「加分部分」查核優等每次加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分，甲等每次加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分；金質獎特優每次加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分，佳作每次加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乙等及無查核紀錄者無加減分。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查核丙等本項為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12(％)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60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(二)施工計畫、工程執行能力與期程管理、風險管理</w:t>
            </w:r>
          </w:p>
          <w:p w:rsidR="00774488" w:rsidRPr="00223563" w:rsidRDefault="00774488" w:rsidP="003E44E7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對本工程之對本工程之瞭解、整體工程之施工計畫、各分項工程之施工方法與程序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含建築結構與機水電空調工項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、施工機具、界面整合、完工驗收、測試運轉施工規劃。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主要材料及設備安排規劃等。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施工期程之配合構想。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風險評估與管理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30(％)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102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工程品質管理及安衛規劃作為</w:t>
            </w:r>
          </w:p>
          <w:p w:rsidR="00774488" w:rsidRPr="004C255B" w:rsidRDefault="00774488" w:rsidP="004C255B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255B">
              <w:rPr>
                <w:rFonts w:ascii="標楷體" w:eastAsia="標楷體" w:hAnsi="標楷體" w:hint="eastAsia"/>
                <w:color w:val="000000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82EC0">
            <w:pPr>
              <w:ind w:leftChars="19" w:left="46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int="eastAsia"/>
                <w:color w:val="000000" w:themeColor="text1"/>
              </w:rPr>
              <w:t>工程品質管理規劃及植栽移植維護計畫。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/>
                <w:color w:val="000000" w:themeColor="text1"/>
              </w:rPr>
              <w:t>(2)</w:t>
            </w:r>
            <w:r w:rsidRPr="00957B19">
              <w:rPr>
                <w:rFonts w:eastAsia="標楷體"/>
                <w:color w:val="000000" w:themeColor="text1"/>
              </w:rPr>
              <w:t>環境保護</w:t>
            </w:r>
            <w:r w:rsidRPr="00957B19">
              <w:rPr>
                <w:rFonts w:eastAsia="標楷體" w:hint="eastAsia"/>
                <w:color w:val="000000" w:themeColor="text1"/>
              </w:rPr>
              <w:t>、污水排放、交</w:t>
            </w:r>
            <w:r w:rsidRPr="00957B19">
              <w:rPr>
                <w:rFonts w:eastAsia="標楷體"/>
                <w:color w:val="000000" w:themeColor="text1"/>
              </w:rPr>
              <w:t>通維持、防汛及安全衛生管理</w:t>
            </w:r>
            <w:r w:rsidRPr="00957B19">
              <w:rPr>
                <w:rFonts w:eastAsia="標楷體" w:hint="eastAsia"/>
                <w:color w:val="000000" w:themeColor="text1"/>
              </w:rPr>
              <w:t>規劃</w:t>
            </w:r>
            <w:r w:rsidRPr="00957B19">
              <w:rPr>
                <w:rFonts w:eastAsia="標楷體"/>
                <w:color w:val="000000" w:themeColor="text1"/>
              </w:rPr>
              <w:t>(</w:t>
            </w:r>
            <w:r w:rsidRPr="00957B19">
              <w:rPr>
                <w:rFonts w:eastAsia="標楷體"/>
                <w:color w:val="000000" w:themeColor="text1"/>
              </w:rPr>
              <w:t>含緊急事故應變處理</w:t>
            </w:r>
            <w:r w:rsidRPr="00957B19">
              <w:rPr>
                <w:rFonts w:eastAsia="標楷體" w:hint="eastAsia"/>
                <w:color w:val="000000" w:themeColor="text1"/>
              </w:rPr>
              <w:t>及防災措施</w:t>
            </w:r>
            <w:r w:rsidRPr="00957B19">
              <w:rPr>
                <w:rFonts w:eastAsia="標楷體"/>
                <w:color w:val="000000" w:themeColor="text1"/>
              </w:rPr>
              <w:t>)</w:t>
            </w:r>
            <w:r w:rsidRPr="00957B19">
              <w:rPr>
                <w:rFonts w:eastAsia="標楷體"/>
                <w:color w:val="000000" w:themeColor="text1"/>
              </w:rPr>
              <w:t>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int="eastAsia"/>
                <w:color w:val="000000" w:themeColor="text1"/>
              </w:rPr>
              <w:t>施工期間如何配合校園作息及降低施工期間之噪音、隔絕粉塵污染與維持交通動線暢通之作為。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46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工程組織、財務能力及分包計畫</w:t>
            </w:r>
          </w:p>
          <w:p w:rsidR="00774488" w:rsidRPr="004B2273" w:rsidRDefault="00774488" w:rsidP="004B2273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(15</w:t>
            </w:r>
            <w:r w:rsidRPr="004B2273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工程專案組織成員及其學經歷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含專長、責任與專業技術檢定或訓練之證照或合格證書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、相關專業證照及過去承辦案件資歷。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廠商財務狀況，最近</w:t>
            </w:r>
            <w:proofErr w:type="gramStart"/>
            <w:r w:rsidRPr="00957B19">
              <w:rPr>
                <w:rFonts w:eastAsia="標楷體" w:hint="eastAsia"/>
                <w:color w:val="000000" w:themeColor="text1"/>
              </w:rPr>
              <w:t>1</w:t>
            </w:r>
            <w:proofErr w:type="gramEnd"/>
            <w:r w:rsidRPr="00957B19">
              <w:rPr>
                <w:rFonts w:eastAsia="標楷體" w:hint="eastAsia"/>
                <w:color w:val="000000" w:themeColor="text1"/>
              </w:rPr>
              <w:t>年度淨值、流動、負債及最近</w:t>
            </w:r>
            <w:r w:rsidRPr="00957B19">
              <w:rPr>
                <w:rFonts w:eastAsia="標楷體" w:hint="eastAsia"/>
                <w:color w:val="000000" w:themeColor="text1"/>
              </w:rPr>
              <w:t>3</w:t>
            </w:r>
            <w:r w:rsidRPr="00957B19">
              <w:rPr>
                <w:rFonts w:eastAsia="標楷體" w:hint="eastAsia"/>
                <w:color w:val="000000" w:themeColor="text1"/>
              </w:rPr>
              <w:t>年有無退票情形。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分包計畫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至少含建築結構系統與機水電及空調之分包廠商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15(％)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廠商創意或承諾事項及替代方案</w:t>
            </w:r>
          </w:p>
          <w:p w:rsidR="00774488" w:rsidRPr="00EC2902" w:rsidRDefault="00774488" w:rsidP="00EC290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(10</w:t>
            </w:r>
            <w:r w:rsidRPr="00EC2902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廠商為本工程所提供之各式創意或承諾，例如提升建築器材設備等級、促進工程品質水準、延長保固期限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....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等。</w:t>
            </w:r>
          </w:p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就影響校園及周邊區域生活之工程或工項，提出可提升施工安全、交通維持、減少民眾抗爭之措施。</w:t>
            </w:r>
          </w:p>
          <w:p w:rsidR="00774488" w:rsidRPr="00957B19" w:rsidRDefault="00774488" w:rsidP="00EC5175">
            <w:pPr>
              <w:ind w:left="46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(3)</w:t>
            </w: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有縮短工期替代工法或管理機制。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23563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223563">
              <w:rPr>
                <w:rFonts w:ascii="標楷體" w:eastAsia="標楷體" w:hAnsi="標楷體" w:hint="eastAsia"/>
                <w:szCs w:val="28"/>
              </w:rPr>
              <w:t>)簡報及答</w:t>
            </w:r>
            <w:proofErr w:type="gramStart"/>
            <w:r w:rsidRPr="00223563">
              <w:rPr>
                <w:rFonts w:ascii="標楷體" w:eastAsia="標楷體" w:hAnsi="標楷體" w:hint="eastAsia"/>
                <w:szCs w:val="28"/>
              </w:rPr>
              <w:t>詢</w:t>
            </w:r>
            <w:proofErr w:type="gramEnd"/>
          </w:p>
          <w:p w:rsidR="00774488" w:rsidRDefault="00774488" w:rsidP="00067392">
            <w:pPr>
              <w:pStyle w:val="5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067392">
            <w:pPr>
              <w:ind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簡報清晰程度，對委員問題之掌握及答</w:t>
            </w:r>
            <w:proofErr w:type="gramStart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詢</w:t>
            </w:r>
            <w:proofErr w:type="gramEnd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切題程度。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10(%)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410"/>
        </w:trPr>
        <w:tc>
          <w:tcPr>
            <w:tcW w:w="881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得分加總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3775DD">
        <w:trPr>
          <w:trHeight w:val="3953"/>
        </w:trPr>
        <w:tc>
          <w:tcPr>
            <w:tcW w:w="1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意見(理由)</w:t>
            </w:r>
          </w:p>
        </w:tc>
        <w:tc>
          <w:tcPr>
            <w:tcW w:w="13479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C97131">
            <w:pPr>
              <w:adjustRightInd w:val="0"/>
              <w:snapToGrid w:val="0"/>
              <w:spacing w:before="120"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774488">
        <w:trPr>
          <w:trHeight w:val="1246"/>
        </w:trPr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審查注意事項</w:t>
            </w:r>
          </w:p>
        </w:tc>
        <w:tc>
          <w:tcPr>
            <w:tcW w:w="1086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廠商評分總分達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分（含）以上</w:t>
            </w:r>
            <w:r w:rsidR="00AB36FD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分以下者，請審查委員述明理由。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二、本表審查完成後於右下角折線彌封。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三、審查委員應全程參與並親自為之，不得代理，避免遲到早退。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四、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參選廠商之審查委員之平均得分達</w:t>
            </w:r>
            <w:r w:rsidR="0003263E"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75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分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（含）以上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始得列入及格廠商。</w:t>
            </w:r>
          </w:p>
          <w:p w:rsidR="005B2622" w:rsidRPr="00957B19" w:rsidRDefault="005B2622" w:rsidP="0057089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r w:rsidRPr="00957B19">
              <w:rPr>
                <w:rFonts w:ascii="標楷體" w:eastAsia="標楷體"/>
                <w:color w:val="000000" w:themeColor="text1"/>
                <w:sz w:val="20"/>
                <w:szCs w:val="20"/>
              </w:rPr>
              <w:t>投標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廠商未出席簡報及現場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詢</w:t>
            </w:r>
            <w:proofErr w:type="gramEnd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答者，不影響其投標文件之有效性，故仍須納入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審查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惟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簡報與詢答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項目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應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評</w:t>
            </w:r>
            <w:proofErr w:type="gramEnd"/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為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零分。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22" w:rsidRPr="00957B19" w:rsidRDefault="005B2622" w:rsidP="000861F5">
            <w:pPr>
              <w:spacing w:before="120"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hd w:val="pct15" w:color="auto" w:fill="FFFFFF"/>
              </w:rPr>
              <w:t>審查</w:t>
            </w:r>
            <w:r w:rsidRPr="00957B19"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  <w:t>委員簽名</w:t>
            </w:r>
          </w:p>
          <w:p w:rsidR="005B2622" w:rsidRPr="00957B19" w:rsidRDefault="005B2622" w:rsidP="000861F5">
            <w:pPr>
              <w:spacing w:before="120"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B2622" w:rsidRPr="00957B19" w:rsidRDefault="005B2622" w:rsidP="000861F5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</w:tbl>
    <w:p w:rsidR="00033FA5" w:rsidRDefault="00AB14E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69187" wp14:editId="6819CDF1">
                <wp:simplePos x="0" y="0"/>
                <wp:positionH relativeFrom="column">
                  <wp:posOffset>7038975</wp:posOffset>
                </wp:positionH>
                <wp:positionV relativeFrom="paragraph">
                  <wp:posOffset>10794</wp:posOffset>
                </wp:positionV>
                <wp:extent cx="3048000" cy="2562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62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D9226" id="矩形 1" o:spid="_x0000_s1026" style="position:absolute;margin-left:554.25pt;margin-top:.85pt;width:240pt;height:20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D62F27" w:rsidRDefault="00D62F27"/>
    <w:p w:rsidR="00D62F27" w:rsidRDefault="00D62F27"/>
    <w:sectPr w:rsidR="00D62F27" w:rsidSect="00E332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07" w:rsidRDefault="00B23507" w:rsidP="00755994">
      <w:r>
        <w:separator/>
      </w:r>
    </w:p>
  </w:endnote>
  <w:endnote w:type="continuationSeparator" w:id="0">
    <w:p w:rsidR="00B23507" w:rsidRDefault="00B23507" w:rsidP="007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07" w:rsidRDefault="00B23507" w:rsidP="00755994">
      <w:r>
        <w:separator/>
      </w:r>
    </w:p>
  </w:footnote>
  <w:footnote w:type="continuationSeparator" w:id="0">
    <w:p w:rsidR="00B23507" w:rsidRDefault="00B23507" w:rsidP="007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00"/>
    <w:multiLevelType w:val="hybridMultilevel"/>
    <w:tmpl w:val="49D01698"/>
    <w:lvl w:ilvl="0" w:tplc="B85672B0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417795E"/>
    <w:multiLevelType w:val="hybridMultilevel"/>
    <w:tmpl w:val="D8000E76"/>
    <w:lvl w:ilvl="0" w:tplc="8446F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E65A5"/>
    <w:multiLevelType w:val="hybridMultilevel"/>
    <w:tmpl w:val="959C2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0F4835"/>
    <w:multiLevelType w:val="hybridMultilevel"/>
    <w:tmpl w:val="A760A2AC"/>
    <w:lvl w:ilvl="0" w:tplc="BFEC4858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 w15:restartNumberingAfterBreak="0">
    <w:nsid w:val="4FAD6E6F"/>
    <w:multiLevelType w:val="hybridMultilevel"/>
    <w:tmpl w:val="CEE22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50A20"/>
    <w:multiLevelType w:val="hybridMultilevel"/>
    <w:tmpl w:val="1DF0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AF"/>
    <w:rsid w:val="0003263E"/>
    <w:rsid w:val="00033FA5"/>
    <w:rsid w:val="00067392"/>
    <w:rsid w:val="00072A56"/>
    <w:rsid w:val="000A2786"/>
    <w:rsid w:val="000C13BB"/>
    <w:rsid w:val="000C296B"/>
    <w:rsid w:val="000F2D9D"/>
    <w:rsid w:val="00181C13"/>
    <w:rsid w:val="00194F3E"/>
    <w:rsid w:val="001A79E7"/>
    <w:rsid w:val="002102E5"/>
    <w:rsid w:val="0026752A"/>
    <w:rsid w:val="00274A28"/>
    <w:rsid w:val="00275227"/>
    <w:rsid w:val="00275492"/>
    <w:rsid w:val="00282EC0"/>
    <w:rsid w:val="0028666C"/>
    <w:rsid w:val="0029210F"/>
    <w:rsid w:val="002D1B65"/>
    <w:rsid w:val="00343098"/>
    <w:rsid w:val="00373C7E"/>
    <w:rsid w:val="003775DD"/>
    <w:rsid w:val="003E44E7"/>
    <w:rsid w:val="0040372C"/>
    <w:rsid w:val="00413B73"/>
    <w:rsid w:val="00421F16"/>
    <w:rsid w:val="00465B75"/>
    <w:rsid w:val="00474514"/>
    <w:rsid w:val="004A754F"/>
    <w:rsid w:val="004B2273"/>
    <w:rsid w:val="004C255B"/>
    <w:rsid w:val="004E0A12"/>
    <w:rsid w:val="004E6B19"/>
    <w:rsid w:val="005237CE"/>
    <w:rsid w:val="00570892"/>
    <w:rsid w:val="005919DE"/>
    <w:rsid w:val="005A2A97"/>
    <w:rsid w:val="005B2622"/>
    <w:rsid w:val="005C5572"/>
    <w:rsid w:val="00604B0F"/>
    <w:rsid w:val="00620002"/>
    <w:rsid w:val="00635B48"/>
    <w:rsid w:val="00662B55"/>
    <w:rsid w:val="00695F31"/>
    <w:rsid w:val="006A078C"/>
    <w:rsid w:val="006C31B4"/>
    <w:rsid w:val="00704C11"/>
    <w:rsid w:val="00711646"/>
    <w:rsid w:val="00755994"/>
    <w:rsid w:val="00774488"/>
    <w:rsid w:val="007759E1"/>
    <w:rsid w:val="00787610"/>
    <w:rsid w:val="007F24AF"/>
    <w:rsid w:val="007F5447"/>
    <w:rsid w:val="00805E89"/>
    <w:rsid w:val="00805EEA"/>
    <w:rsid w:val="0088259C"/>
    <w:rsid w:val="008853DB"/>
    <w:rsid w:val="008D4914"/>
    <w:rsid w:val="008F2E54"/>
    <w:rsid w:val="00957B19"/>
    <w:rsid w:val="00A07475"/>
    <w:rsid w:val="00A72048"/>
    <w:rsid w:val="00AA1F84"/>
    <w:rsid w:val="00AB14E2"/>
    <w:rsid w:val="00AB36FD"/>
    <w:rsid w:val="00AE693E"/>
    <w:rsid w:val="00AF0513"/>
    <w:rsid w:val="00AF2A26"/>
    <w:rsid w:val="00B23507"/>
    <w:rsid w:val="00B736EA"/>
    <w:rsid w:val="00B74DF7"/>
    <w:rsid w:val="00B75872"/>
    <w:rsid w:val="00C35A99"/>
    <w:rsid w:val="00C405E5"/>
    <w:rsid w:val="00C9517B"/>
    <w:rsid w:val="00C97131"/>
    <w:rsid w:val="00CB0271"/>
    <w:rsid w:val="00CC72E5"/>
    <w:rsid w:val="00CD20B7"/>
    <w:rsid w:val="00D05230"/>
    <w:rsid w:val="00D40301"/>
    <w:rsid w:val="00D40ECF"/>
    <w:rsid w:val="00D5409F"/>
    <w:rsid w:val="00D62F27"/>
    <w:rsid w:val="00D7510F"/>
    <w:rsid w:val="00D76CA8"/>
    <w:rsid w:val="00E041B6"/>
    <w:rsid w:val="00E11B1D"/>
    <w:rsid w:val="00E1631E"/>
    <w:rsid w:val="00E33206"/>
    <w:rsid w:val="00E357BE"/>
    <w:rsid w:val="00E81A3B"/>
    <w:rsid w:val="00E83DF2"/>
    <w:rsid w:val="00EC2902"/>
    <w:rsid w:val="00EC5175"/>
    <w:rsid w:val="00EC6974"/>
    <w:rsid w:val="00F2077B"/>
    <w:rsid w:val="00F22713"/>
    <w:rsid w:val="00F253D0"/>
    <w:rsid w:val="00F26AB2"/>
    <w:rsid w:val="00F415E4"/>
    <w:rsid w:val="00F857DE"/>
    <w:rsid w:val="00FA1C8A"/>
    <w:rsid w:val="00FD6034"/>
    <w:rsid w:val="00FE35F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6DCD7"/>
  <w15:docId w15:val="{A5B19531-4CAD-4998-9BE5-0263B9A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純文字5"/>
    <w:basedOn w:val="a"/>
    <w:rsid w:val="007F24AF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1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4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0A26-97B0-4696-86DD-5DE21EAA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陳錞瑩</dc:creator>
  <cp:lastModifiedBy>賴宜君</cp:lastModifiedBy>
  <cp:revision>5</cp:revision>
  <cp:lastPrinted>2018-11-07T06:40:00Z</cp:lastPrinted>
  <dcterms:created xsi:type="dcterms:W3CDTF">2021-05-05T02:19:00Z</dcterms:created>
  <dcterms:modified xsi:type="dcterms:W3CDTF">2025-01-07T02:59:00Z</dcterms:modified>
</cp:coreProperties>
</file>