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16" w:rsidRPr="00E144D6" w:rsidRDefault="00D33F16" w:rsidP="00E144D6">
      <w:pPr>
        <w:spacing w:line="400" w:lineRule="exact"/>
        <w:rPr>
          <w:rFonts w:ascii="標楷體" w:eastAsia="標楷體" w:hAnsi="標楷體" w:hint="eastAsia"/>
          <w:bCs/>
          <w:sz w:val="40"/>
          <w:szCs w:val="40"/>
        </w:rPr>
      </w:pPr>
      <w:bookmarkStart w:id="0" w:name="_GoBack"/>
      <w:bookmarkEnd w:id="0"/>
      <w:r w:rsidRPr="00E144D6">
        <w:rPr>
          <w:rFonts w:ascii="標楷體" w:eastAsia="標楷體" w:hAnsi="標楷體" w:hint="eastAsia"/>
          <w:bCs/>
          <w:sz w:val="40"/>
          <w:szCs w:val="40"/>
        </w:rPr>
        <w:t>廠商參與公共工程可能涉及之法律責任</w:t>
      </w:r>
    </w:p>
    <w:p w:rsidR="00D33F16" w:rsidRPr="00E144D6" w:rsidRDefault="00D33F16" w:rsidP="00E144D6">
      <w:pPr>
        <w:spacing w:line="360" w:lineRule="exact"/>
        <w:rPr>
          <w:rFonts w:ascii="標楷體" w:eastAsia="標楷體" w:hAnsi="標楷體" w:hint="eastAsia"/>
          <w:b/>
          <w:bCs/>
          <w:sz w:val="28"/>
          <w:szCs w:val="28"/>
        </w:rPr>
      </w:pPr>
      <w:r w:rsidRPr="00E144D6">
        <w:rPr>
          <w:rFonts w:ascii="標楷體" w:eastAsia="標楷體" w:hAnsi="標楷體" w:hint="eastAsia"/>
          <w:bCs/>
          <w:sz w:val="28"/>
          <w:szCs w:val="28"/>
        </w:rPr>
        <w:t>一、規劃、設計、監造或專案管理之廠商</w:t>
      </w:r>
    </w:p>
    <w:p w:rsidR="00D33F16" w:rsidRPr="00E144D6" w:rsidRDefault="00D33F16" w:rsidP="00E144D6">
      <w:pPr>
        <w:spacing w:line="320" w:lineRule="exact"/>
        <w:rPr>
          <w:rFonts w:ascii="標楷體" w:eastAsia="標楷體" w:hAnsi="標楷體"/>
        </w:rPr>
      </w:pPr>
      <w:r w:rsidRPr="00E144D6">
        <w:rPr>
          <w:rFonts w:ascii="標楷體" w:eastAsia="標楷體" w:hAnsi="標楷體" w:hint="eastAsia"/>
        </w:rPr>
        <w:t>（一）辦理公共工程採購可能涉及之相關刑事責任之法規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8"/>
        <w:gridCol w:w="1680"/>
        <w:gridCol w:w="3861"/>
        <w:gridCol w:w="3658"/>
      </w:tblGrid>
      <w:tr w:rsidR="00D33F16" w:rsidRPr="00E144D6">
        <w:tblPrEx>
          <w:tblCellMar>
            <w:top w:w="0" w:type="dxa"/>
            <w:bottom w:w="0" w:type="dxa"/>
          </w:tblCellMar>
        </w:tblPrEx>
        <w:tc>
          <w:tcPr>
            <w:tcW w:w="390"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刑事法規名稱</w:t>
            </w:r>
          </w:p>
        </w:tc>
        <w:tc>
          <w:tcPr>
            <w:tcW w:w="842"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935"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833"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相關刑罰</w:t>
            </w:r>
          </w:p>
        </w:tc>
      </w:tr>
      <w:tr w:rsidR="00D33F16" w:rsidRPr="00E144D6">
        <w:tblPrEx>
          <w:tblCellMar>
            <w:top w:w="0" w:type="dxa"/>
            <w:bottom w:w="0" w:type="dxa"/>
          </w:tblCellMar>
        </w:tblPrEx>
        <w:trPr>
          <w:cantSplit/>
          <w:trHeight w:val="670"/>
        </w:trPr>
        <w:tc>
          <w:tcPr>
            <w:tcW w:w="390"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圍標之處罰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意圖使廠商不為投標、違反其本意投標，或使得標廠商放棄得標、得標後</w:t>
            </w:r>
            <w:proofErr w:type="gramStart"/>
            <w:r w:rsidRPr="00E144D6">
              <w:rPr>
                <w:rFonts w:ascii="標楷體" w:eastAsia="標楷體" w:hAnsi="標楷體" w:hint="eastAsia"/>
                <w:sz w:val="20"/>
                <w:szCs w:val="20"/>
              </w:rPr>
              <w:t>轉包或分</w:t>
            </w:r>
            <w:proofErr w:type="gramEnd"/>
            <w:r w:rsidRPr="00E144D6">
              <w:rPr>
                <w:rFonts w:ascii="標楷體" w:eastAsia="標楷體" w:hAnsi="標楷體" w:hint="eastAsia"/>
                <w:sz w:val="20"/>
                <w:szCs w:val="20"/>
              </w:rPr>
              <w:t>包，而施強暴、脅迫、藥劑或催眠術者。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科新臺幣3百萬元以下罰金。未遂犯罰之。</w:t>
            </w:r>
          </w:p>
        </w:tc>
      </w:tr>
      <w:tr w:rsidR="00D33F16" w:rsidRPr="00E144D6">
        <w:tblPrEx>
          <w:tblCellMar>
            <w:top w:w="0" w:type="dxa"/>
            <w:bottom w:w="0" w:type="dxa"/>
          </w:tblCellMar>
        </w:tblPrEx>
        <w:trPr>
          <w:cantSplit/>
          <w:trHeight w:val="670"/>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犯前項之罪，因而致人於死或致重傷者。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rsidTr="00E144D6">
        <w:tblPrEx>
          <w:tblCellMar>
            <w:top w:w="0" w:type="dxa"/>
            <w:bottom w:w="0" w:type="dxa"/>
          </w:tblCellMar>
        </w:tblPrEx>
        <w:trPr>
          <w:cantSplit/>
          <w:trHeight w:val="620"/>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以詐術或其他非法之方法，使廠商無法投標或開標發生不正確結果者。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tblPrEx>
          <w:tblCellMar>
            <w:top w:w="0" w:type="dxa"/>
            <w:bottom w:w="0" w:type="dxa"/>
          </w:tblCellMar>
        </w:tblPrEx>
        <w:trPr>
          <w:cantSplit/>
          <w:trHeight w:val="537"/>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意圖影響決標價格或獲取不當利益，而以契約、協議或其他方式之合意，使廠商不為投標或不為價格之競爭者。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處6月以上5年以下有期徒刑，得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tblPrEx>
          <w:tblCellMar>
            <w:top w:w="0" w:type="dxa"/>
            <w:bottom w:w="0" w:type="dxa"/>
          </w:tblCellMar>
        </w:tblPrEx>
        <w:trPr>
          <w:cantSplit/>
          <w:trHeight w:val="688"/>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Borders>
              <w:top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意圖影響採購結果或獲取不當利益，而借用他人名義或證件投標者。容許他人借用本人名義或證件參加投標者。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w:t>
            </w:r>
          </w:p>
        </w:tc>
      </w:tr>
      <w:tr w:rsidR="00D33F16" w:rsidRPr="00E144D6">
        <w:tblPrEx>
          <w:tblCellMar>
            <w:top w:w="0" w:type="dxa"/>
            <w:bottom w:w="0" w:type="dxa"/>
          </w:tblCellMar>
        </w:tblPrEx>
        <w:trPr>
          <w:cantSplit/>
          <w:trHeight w:val="555"/>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第88條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綁標之處罰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科新臺幣3百萬元以下罰金。未遂犯罰之。</w:t>
            </w:r>
          </w:p>
        </w:tc>
      </w:tr>
      <w:tr w:rsidR="00D33F16" w:rsidRPr="00E144D6">
        <w:tblPrEx>
          <w:tblCellMar>
            <w:top w:w="0" w:type="dxa"/>
            <w:bottom w:w="0" w:type="dxa"/>
          </w:tblCellMar>
        </w:tblPrEx>
        <w:trPr>
          <w:cantSplit/>
          <w:trHeight w:val="1174"/>
        </w:trPr>
        <w:tc>
          <w:tcPr>
            <w:tcW w:w="390" w:type="pct"/>
            <w:vMerge/>
            <w:tcBorders>
              <w:bottom w:val="nil"/>
            </w:tcBorders>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第89條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洩密之處罰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受機關委託提供採購規劃、設計或專案管理或代辦採購廠商之人員，意圖為私人不法之利益，洩漏或交付關於採購應秘密之文書、圖畫、消息、物品或其他資訊，因而獲得利益者。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處5年以下有期徒刑、拘役或科或</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rsidTr="00E144D6">
        <w:tblPrEx>
          <w:tblCellMar>
            <w:top w:w="0" w:type="dxa"/>
            <w:bottom w:w="0" w:type="dxa"/>
          </w:tblCellMar>
        </w:tblPrEx>
        <w:trPr>
          <w:cantSplit/>
          <w:trHeight w:val="1301"/>
        </w:trPr>
        <w:tc>
          <w:tcPr>
            <w:tcW w:w="390" w:type="pct"/>
            <w:vMerge w:val="restart"/>
            <w:tcBorders>
              <w:top w:val="nil"/>
            </w:tcBorders>
          </w:tcPr>
          <w:p w:rsidR="00D33F16" w:rsidRPr="00E144D6" w:rsidRDefault="00D33F16" w:rsidP="00E144D6">
            <w:pPr>
              <w:spacing w:line="240" w:lineRule="exact"/>
              <w:rPr>
                <w:rFonts w:ascii="標楷體" w:eastAsia="標楷體" w:hAnsi="標楷體" w:hint="eastAsia"/>
                <w:sz w:val="20"/>
                <w:szCs w:val="20"/>
              </w:rPr>
            </w:pP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強制採購決定之處罰</w:t>
            </w:r>
          </w:p>
        </w:tc>
        <w:tc>
          <w:tcPr>
            <w:tcW w:w="1935" w:type="pct"/>
          </w:tcPr>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意圖使機關規劃、設計、承辦、監辦採購人員或受機關委託提供採購規劃、設計或專案管理或代辦採購廠商之人員，就與採購有關事項，不為決定或為違反其本意之決定，而施強暴、脅迫者。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科新臺幣3百萬元以下罰金。未遂犯罰之。</w:t>
            </w:r>
          </w:p>
        </w:tc>
      </w:tr>
      <w:tr w:rsidR="00D33F16" w:rsidRPr="00E144D6">
        <w:tblPrEx>
          <w:tblCellMar>
            <w:top w:w="0" w:type="dxa"/>
            <w:bottom w:w="0" w:type="dxa"/>
          </w:tblCellMar>
        </w:tblPrEx>
        <w:trPr>
          <w:cantSplit/>
          <w:trHeight w:val="303"/>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rsidTr="00E144D6">
        <w:tblPrEx>
          <w:tblCellMar>
            <w:top w:w="0" w:type="dxa"/>
            <w:bottom w:w="0" w:type="dxa"/>
          </w:tblCellMar>
        </w:tblPrEx>
        <w:trPr>
          <w:cantSplit/>
          <w:trHeight w:val="1291"/>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第91條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強制洩密之處罰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意圖使機關規劃、設計、承辦、監辦採購人員或受機關委託提供採購規劃、設計或專案管理或代辦採購廠商之人員，洩漏或交付關於採購應秘密之文書、圖畫、消息、物品或其他資訊，而施強暴、脅迫者。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rsidTr="00E144D6">
        <w:tblPrEx>
          <w:tblCellMar>
            <w:top w:w="0" w:type="dxa"/>
            <w:bottom w:w="0" w:type="dxa"/>
          </w:tblCellMar>
        </w:tblPrEx>
        <w:trPr>
          <w:cantSplit/>
          <w:trHeight w:val="983"/>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rsidTr="00E144D6">
        <w:tblPrEx>
          <w:tblCellMar>
            <w:top w:w="0" w:type="dxa"/>
            <w:bottom w:w="0" w:type="dxa"/>
          </w:tblCellMar>
        </w:tblPrEx>
        <w:trPr>
          <w:cantSplit/>
          <w:trHeight w:val="546"/>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法人之處罰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廠商之代表人、代理人、受雇人或其他從業人員，因執行業務犯本法之罪者。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除依規定處罰其行為人外，對該</w:t>
            </w:r>
            <w:proofErr w:type="gramStart"/>
            <w:r w:rsidRPr="00E144D6">
              <w:rPr>
                <w:rFonts w:ascii="標楷體" w:eastAsia="標楷體" w:hAnsi="標楷體" w:hint="eastAsia"/>
                <w:sz w:val="20"/>
                <w:szCs w:val="20"/>
              </w:rPr>
              <w:t>廠商亦科以</w:t>
            </w:r>
            <w:proofErr w:type="gramEnd"/>
            <w:r w:rsidRPr="00E144D6">
              <w:rPr>
                <w:rFonts w:ascii="標楷體" w:eastAsia="標楷體" w:hAnsi="標楷體" w:hint="eastAsia"/>
                <w:sz w:val="20"/>
                <w:szCs w:val="20"/>
              </w:rPr>
              <w:t>該條之罰金。</w:t>
            </w:r>
          </w:p>
        </w:tc>
      </w:tr>
      <w:tr w:rsidR="00D33F16" w:rsidRPr="00E144D6">
        <w:tblPrEx>
          <w:tblCellMar>
            <w:top w:w="0" w:type="dxa"/>
            <w:bottom w:w="0" w:type="dxa"/>
          </w:tblCellMar>
        </w:tblPrEx>
        <w:trPr>
          <w:cantSplit/>
          <w:trHeight w:val="658"/>
        </w:trPr>
        <w:tc>
          <w:tcPr>
            <w:tcW w:w="390"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刑法</w:t>
            </w: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第122條第3項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對於公務員關於違背職務之行為，行求、期約或交付賄賂或其他不正利益者。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科3千元以下罰金。</w:t>
            </w:r>
          </w:p>
        </w:tc>
      </w:tr>
      <w:tr w:rsidR="00D33F16" w:rsidRPr="00E144D6">
        <w:tblPrEx>
          <w:tblCellMar>
            <w:top w:w="0" w:type="dxa"/>
            <w:bottom w:w="0" w:type="dxa"/>
          </w:tblCellMar>
        </w:tblPrEx>
        <w:trPr>
          <w:cantSplit/>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第193條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違背建築術成規罪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承攬工程人或監工人於營造或拆卸建築物時，違背建築術成規，致生公共危險者。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處3年以下有期徒刑、拘役或3千元以下罰金。</w:t>
            </w:r>
          </w:p>
        </w:tc>
      </w:tr>
      <w:tr w:rsidR="00D33F16" w:rsidRPr="00E144D6">
        <w:tblPrEx>
          <w:tblCellMar>
            <w:top w:w="0" w:type="dxa"/>
            <w:bottom w:w="0" w:type="dxa"/>
          </w:tblCellMar>
        </w:tblPrEx>
        <w:trPr>
          <w:cantSplit/>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偽、</w:t>
            </w:r>
            <w:proofErr w:type="gramStart"/>
            <w:r w:rsidRPr="00E144D6">
              <w:rPr>
                <w:rFonts w:ascii="標楷體" w:eastAsia="標楷體" w:hAnsi="標楷體" w:hint="eastAsia"/>
                <w:sz w:val="20"/>
                <w:szCs w:val="20"/>
              </w:rPr>
              <w:t>變造私文書</w:t>
            </w:r>
            <w:proofErr w:type="gramEnd"/>
            <w:r w:rsidRPr="00E144D6">
              <w:rPr>
                <w:rFonts w:ascii="標楷體" w:eastAsia="標楷體" w:hAnsi="標楷體" w:hint="eastAsia"/>
                <w:sz w:val="20"/>
                <w:szCs w:val="20"/>
              </w:rPr>
              <w:t>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偽造、</w:t>
            </w:r>
            <w:proofErr w:type="gramStart"/>
            <w:r w:rsidRPr="00E144D6">
              <w:rPr>
                <w:rFonts w:ascii="標楷體" w:eastAsia="標楷體" w:hAnsi="標楷體" w:hint="eastAsia"/>
                <w:sz w:val="20"/>
                <w:szCs w:val="20"/>
              </w:rPr>
              <w:t>變造私文書</w:t>
            </w:r>
            <w:proofErr w:type="gramEnd"/>
            <w:r w:rsidRPr="00E144D6">
              <w:rPr>
                <w:rFonts w:ascii="標楷體" w:eastAsia="標楷體" w:hAnsi="標楷體" w:hint="eastAsia"/>
                <w:sz w:val="20"/>
                <w:szCs w:val="20"/>
              </w:rPr>
              <w:t>，足以生損害於公眾或他人者。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w:t>
            </w:r>
          </w:p>
        </w:tc>
      </w:tr>
      <w:tr w:rsidR="00D33F16" w:rsidRPr="00E144D6">
        <w:tblPrEx>
          <w:tblCellMar>
            <w:top w:w="0" w:type="dxa"/>
            <w:bottom w:w="0" w:type="dxa"/>
          </w:tblCellMar>
        </w:tblPrEx>
        <w:trPr>
          <w:cantSplit/>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第214條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使公務員登載</w:t>
            </w:r>
            <w:proofErr w:type="gramStart"/>
            <w:r w:rsidRPr="00E144D6">
              <w:rPr>
                <w:rFonts w:ascii="標楷體" w:eastAsia="標楷體" w:hAnsi="標楷體" w:hint="eastAsia"/>
                <w:sz w:val="20"/>
                <w:szCs w:val="20"/>
              </w:rPr>
              <w:t>不實罪</w:t>
            </w:r>
            <w:proofErr w:type="gramEnd"/>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明知為不實之事項，而使公務員登載於職務上所掌之公文書，足以生損害於公眾或他人者。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處3年以下有期徒刑、拘役或5百元以下罰金。</w:t>
            </w:r>
          </w:p>
        </w:tc>
      </w:tr>
      <w:tr w:rsidR="00D33F16" w:rsidRPr="00E144D6">
        <w:tblPrEx>
          <w:tblCellMar>
            <w:top w:w="0" w:type="dxa"/>
            <w:bottom w:w="0" w:type="dxa"/>
          </w:tblCellMar>
        </w:tblPrEx>
        <w:trPr>
          <w:cantSplit/>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業務上文書登載</w:t>
            </w:r>
            <w:proofErr w:type="gramStart"/>
            <w:r w:rsidRPr="00E144D6">
              <w:rPr>
                <w:rFonts w:ascii="標楷體" w:eastAsia="標楷體" w:hAnsi="標楷體" w:hint="eastAsia"/>
                <w:sz w:val="20"/>
                <w:szCs w:val="20"/>
              </w:rPr>
              <w:t>不實罪</w:t>
            </w:r>
            <w:proofErr w:type="gramEnd"/>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從事業務之人，明知為不實之事項，而登載於其業務上作成之文書，足以生損害於公眾或他人者。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處3年以下有期徒刑、拘役或5百元以下罰金。</w:t>
            </w:r>
          </w:p>
        </w:tc>
      </w:tr>
      <w:tr w:rsidR="00D33F16" w:rsidRPr="00E144D6">
        <w:tblPrEx>
          <w:tblCellMar>
            <w:top w:w="0" w:type="dxa"/>
            <w:bottom w:w="0" w:type="dxa"/>
          </w:tblCellMar>
        </w:tblPrEx>
        <w:trPr>
          <w:cantSplit/>
          <w:trHeight w:val="1094"/>
        </w:trPr>
        <w:tc>
          <w:tcPr>
            <w:tcW w:w="390"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第342條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背信罪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為他人處理事務，意圖為</w:t>
            </w:r>
            <w:proofErr w:type="gramStart"/>
            <w:r w:rsidRPr="00E144D6">
              <w:rPr>
                <w:rFonts w:ascii="標楷體" w:eastAsia="標楷體" w:hAnsi="標楷體" w:hint="eastAsia"/>
                <w:sz w:val="20"/>
                <w:szCs w:val="20"/>
              </w:rPr>
              <w:t>自已</w:t>
            </w:r>
            <w:proofErr w:type="gramEnd"/>
            <w:r w:rsidRPr="00E144D6">
              <w:rPr>
                <w:rFonts w:ascii="標楷體" w:eastAsia="標楷體" w:hAnsi="標楷體" w:hint="eastAsia"/>
                <w:sz w:val="20"/>
                <w:szCs w:val="20"/>
              </w:rPr>
              <w:t>或第三人不法之利益，或損害本人之利益，而為違背其任務之行為，致生損害於本人之財產或其他利益者。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處5年以下有期徒刑、拘役或科或</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科1千元以下罰金。未遂犯罰之。</w:t>
            </w:r>
          </w:p>
        </w:tc>
      </w:tr>
      <w:tr w:rsidR="00D33F16" w:rsidRPr="00E144D6" w:rsidTr="00E144D6">
        <w:tblPrEx>
          <w:tblCellMar>
            <w:top w:w="0" w:type="dxa"/>
            <w:bottom w:w="0" w:type="dxa"/>
          </w:tblCellMar>
        </w:tblPrEx>
        <w:trPr>
          <w:cantSplit/>
          <w:trHeight w:val="892"/>
        </w:trPr>
        <w:tc>
          <w:tcPr>
            <w:tcW w:w="390" w:type="pct"/>
            <w:tcBorders>
              <w:top w:val="single" w:sz="4" w:space="0" w:color="auto"/>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貪污治罪條例</w:t>
            </w: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第2條</w:t>
            </w:r>
          </w:p>
          <w:p w:rsidR="00D33F16" w:rsidRPr="00E144D6" w:rsidRDefault="00D33F16" w:rsidP="00E144D6">
            <w:pPr>
              <w:spacing w:line="240" w:lineRule="exact"/>
              <w:rPr>
                <w:rFonts w:ascii="標楷體" w:eastAsia="標楷體" w:hAnsi="標楷體" w:hint="eastAsia"/>
                <w:sz w:val="20"/>
                <w:szCs w:val="20"/>
              </w:rPr>
            </w:pP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第3條</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公務員犯本條例之罪者，依本條例處斷。</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與前條人員共犯本條例之罪者，亦依本條例處斷。</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roofErr w:type="gramStart"/>
            <w:r w:rsidRPr="00E144D6">
              <w:rPr>
                <w:rFonts w:ascii="標楷體" w:eastAsia="標楷體" w:hAnsi="標楷體" w:hint="eastAsia"/>
                <w:sz w:val="20"/>
                <w:szCs w:val="20"/>
              </w:rPr>
              <w:t>詳</w:t>
            </w:r>
            <w:proofErr w:type="gramEnd"/>
            <w:r w:rsidRPr="00E144D6">
              <w:rPr>
                <w:rFonts w:ascii="標楷體" w:eastAsia="標楷體" w:hAnsi="標楷體" w:hint="eastAsia"/>
                <w:sz w:val="20"/>
                <w:szCs w:val="20"/>
              </w:rPr>
              <w:t>貪污治罪條例第4條、第5條、第6條、10條、第12條、第13條、第15條、第17條規定</w:t>
            </w:r>
          </w:p>
        </w:tc>
      </w:tr>
      <w:tr w:rsidR="00AE5398" w:rsidRPr="00E144D6">
        <w:tblPrEx>
          <w:tblCellMar>
            <w:top w:w="0" w:type="dxa"/>
            <w:bottom w:w="0" w:type="dxa"/>
          </w:tblCellMar>
        </w:tblPrEx>
        <w:trPr>
          <w:cantSplit/>
          <w:trHeight w:val="1094"/>
        </w:trPr>
        <w:tc>
          <w:tcPr>
            <w:tcW w:w="390" w:type="pct"/>
            <w:vMerge w:val="restart"/>
            <w:tcBorders>
              <w:top w:val="single" w:sz="4" w:space="0" w:color="auto"/>
            </w:tcBorders>
          </w:tcPr>
          <w:p w:rsidR="00AE5398" w:rsidRPr="00E144D6" w:rsidRDefault="00AE5398" w:rsidP="00E144D6">
            <w:pPr>
              <w:spacing w:line="240" w:lineRule="exact"/>
              <w:rPr>
                <w:rFonts w:ascii="標楷體" w:eastAsia="標楷體" w:hAnsi="標楷體" w:hint="eastAsia"/>
                <w:sz w:val="20"/>
                <w:szCs w:val="20"/>
              </w:rPr>
            </w:pPr>
          </w:p>
        </w:tc>
        <w:tc>
          <w:tcPr>
            <w:tcW w:w="842" w:type="pct"/>
          </w:tcPr>
          <w:p w:rsidR="00AE5398" w:rsidRPr="00E144D6" w:rsidRDefault="00AE5398"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第11條第1項及第4項</w:t>
            </w:r>
          </w:p>
          <w:p w:rsidR="00AE5398" w:rsidRPr="00E144D6" w:rsidRDefault="00AE5398"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AE5398" w:rsidRPr="00E144D6" w:rsidRDefault="00AE5398"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對於第2條人員，關於違背職務之行為，行求、期約或交付賄賂或其他不正利益者。</w:t>
            </w:r>
          </w:p>
          <w:p w:rsidR="00AE5398" w:rsidRPr="00E144D6" w:rsidRDefault="00AE5398"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不具第2條人員之身分而犯</w:t>
            </w:r>
            <w:r w:rsidR="003216B4" w:rsidRPr="00E144D6">
              <w:rPr>
                <w:rFonts w:ascii="標楷體" w:eastAsia="標楷體" w:hAnsi="標楷體" w:hint="eastAsia"/>
                <w:sz w:val="20"/>
                <w:szCs w:val="20"/>
              </w:rPr>
              <w:t>第1</w:t>
            </w:r>
            <w:r w:rsidRPr="00E144D6">
              <w:rPr>
                <w:rFonts w:ascii="標楷體" w:eastAsia="標楷體" w:hAnsi="標楷體" w:hint="eastAsia"/>
                <w:sz w:val="20"/>
                <w:szCs w:val="20"/>
              </w:rPr>
              <w:t>項之罪者。</w:t>
            </w:r>
          </w:p>
        </w:tc>
        <w:tc>
          <w:tcPr>
            <w:tcW w:w="1833" w:type="pct"/>
            <w:tcBorders>
              <w:bottom w:val="single" w:sz="4" w:space="0" w:color="auto"/>
            </w:tcBorders>
          </w:tcPr>
          <w:p w:rsidR="00AE5398" w:rsidRPr="00E144D6" w:rsidRDefault="00AE5398"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科新台幣3百萬元以下罰金。</w:t>
            </w:r>
          </w:p>
        </w:tc>
      </w:tr>
      <w:tr w:rsidR="00FA7D7D" w:rsidRPr="00E144D6" w:rsidTr="00E144D6">
        <w:tblPrEx>
          <w:tblCellMar>
            <w:top w:w="0" w:type="dxa"/>
            <w:bottom w:w="0" w:type="dxa"/>
          </w:tblCellMar>
        </w:tblPrEx>
        <w:trPr>
          <w:cantSplit/>
          <w:trHeight w:val="878"/>
        </w:trPr>
        <w:tc>
          <w:tcPr>
            <w:tcW w:w="390" w:type="pct"/>
            <w:vMerge/>
            <w:tcBorders>
              <w:bottom w:val="single" w:sz="4" w:space="0" w:color="auto"/>
            </w:tcBorders>
          </w:tcPr>
          <w:p w:rsidR="00FA7D7D" w:rsidRPr="00E144D6" w:rsidRDefault="00FA7D7D" w:rsidP="00E144D6">
            <w:pPr>
              <w:spacing w:line="240" w:lineRule="exact"/>
              <w:rPr>
                <w:rFonts w:ascii="標楷體" w:eastAsia="標楷體" w:hAnsi="標楷體" w:hint="eastAsia"/>
                <w:sz w:val="20"/>
                <w:szCs w:val="20"/>
              </w:rPr>
            </w:pPr>
          </w:p>
        </w:tc>
        <w:tc>
          <w:tcPr>
            <w:tcW w:w="842" w:type="pct"/>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第11條第2項及第4項</w:t>
            </w:r>
          </w:p>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對於第2條人員，關於</w:t>
            </w:r>
            <w:r w:rsidR="0077115F" w:rsidRPr="00E144D6">
              <w:rPr>
                <w:rFonts w:ascii="標楷體" w:eastAsia="標楷體" w:hAnsi="標楷體"/>
                <w:sz w:val="20"/>
                <w:szCs w:val="20"/>
              </w:rPr>
              <w:t>不違背職務之行為，行求、期約或交付賄賂或其他不正利益</w:t>
            </w:r>
            <w:r w:rsidRPr="00E144D6">
              <w:rPr>
                <w:rFonts w:ascii="標楷體" w:eastAsia="標楷體" w:hAnsi="標楷體" w:hint="eastAsia"/>
                <w:sz w:val="20"/>
                <w:szCs w:val="20"/>
              </w:rPr>
              <w:t>者。</w:t>
            </w:r>
          </w:p>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不具第2條人員之身分而犯</w:t>
            </w:r>
            <w:r w:rsidR="003216B4" w:rsidRPr="00E144D6">
              <w:rPr>
                <w:rFonts w:ascii="標楷體" w:eastAsia="標楷體" w:hAnsi="標楷體" w:hint="eastAsia"/>
                <w:sz w:val="20"/>
                <w:szCs w:val="20"/>
              </w:rPr>
              <w:t>第2</w:t>
            </w:r>
            <w:r w:rsidRPr="00E144D6">
              <w:rPr>
                <w:rFonts w:ascii="標楷體" w:eastAsia="標楷體" w:hAnsi="標楷體" w:hint="eastAsia"/>
                <w:sz w:val="20"/>
                <w:szCs w:val="20"/>
              </w:rPr>
              <w:t>項之罪者。</w:t>
            </w:r>
          </w:p>
        </w:tc>
        <w:tc>
          <w:tcPr>
            <w:tcW w:w="1833" w:type="pct"/>
            <w:tcBorders>
              <w:bottom w:val="single" w:sz="4" w:space="0" w:color="auto"/>
            </w:tcBorders>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w:t>
            </w:r>
            <w:r w:rsidR="0077115F" w:rsidRPr="00E144D6">
              <w:rPr>
                <w:rFonts w:ascii="標楷體" w:eastAsia="標楷體" w:hAnsi="標楷體" w:hint="eastAsia"/>
                <w:sz w:val="20"/>
                <w:szCs w:val="20"/>
              </w:rPr>
              <w:t>3</w:t>
            </w:r>
            <w:r w:rsidRPr="00E144D6">
              <w:rPr>
                <w:rFonts w:ascii="標楷體" w:eastAsia="標楷體" w:hAnsi="標楷體" w:hint="eastAsia"/>
                <w:sz w:val="20"/>
                <w:szCs w:val="20"/>
              </w:rPr>
              <w:t>年以下有期徒刑</w:t>
            </w:r>
            <w:r w:rsidR="0077115F" w:rsidRPr="00E144D6">
              <w:rPr>
                <w:rFonts w:ascii="標楷體" w:eastAsia="標楷體" w:hAnsi="標楷體"/>
                <w:sz w:val="20"/>
                <w:szCs w:val="20"/>
              </w:rPr>
              <w:t>、拘役或科或</w:t>
            </w:r>
            <w:proofErr w:type="gramStart"/>
            <w:r w:rsidR="0077115F" w:rsidRPr="00E144D6">
              <w:rPr>
                <w:rFonts w:ascii="標楷體" w:eastAsia="標楷體" w:hAnsi="標楷體"/>
                <w:sz w:val="20"/>
                <w:szCs w:val="20"/>
              </w:rPr>
              <w:t>併</w:t>
            </w:r>
            <w:proofErr w:type="gramEnd"/>
            <w:r w:rsidR="0077115F" w:rsidRPr="00E144D6">
              <w:rPr>
                <w:rFonts w:ascii="標楷體" w:eastAsia="標楷體" w:hAnsi="標楷體"/>
                <w:sz w:val="20"/>
                <w:szCs w:val="20"/>
              </w:rPr>
              <w:t>科新臺幣</w:t>
            </w:r>
            <w:r w:rsidR="0077115F" w:rsidRPr="00E144D6">
              <w:rPr>
                <w:rFonts w:ascii="標楷體" w:eastAsia="標楷體" w:hAnsi="標楷體" w:hint="eastAsia"/>
                <w:sz w:val="20"/>
                <w:szCs w:val="20"/>
              </w:rPr>
              <w:t>50</w:t>
            </w:r>
            <w:r w:rsidR="0077115F" w:rsidRPr="00E144D6">
              <w:rPr>
                <w:rFonts w:ascii="標楷體" w:eastAsia="標楷體" w:hAnsi="標楷體"/>
                <w:sz w:val="20"/>
                <w:szCs w:val="20"/>
              </w:rPr>
              <w:t>萬元以下罰金</w:t>
            </w:r>
            <w:r w:rsidRPr="00E144D6">
              <w:rPr>
                <w:rFonts w:ascii="標楷體" w:eastAsia="標楷體" w:hAnsi="標楷體" w:hint="eastAsia"/>
                <w:sz w:val="20"/>
                <w:szCs w:val="20"/>
              </w:rPr>
              <w:t>。</w:t>
            </w:r>
          </w:p>
        </w:tc>
      </w:tr>
      <w:tr w:rsidR="00FA7D7D" w:rsidRPr="00E144D6">
        <w:tblPrEx>
          <w:tblCellMar>
            <w:top w:w="0" w:type="dxa"/>
            <w:bottom w:w="0" w:type="dxa"/>
          </w:tblCellMar>
        </w:tblPrEx>
        <w:trPr>
          <w:cantSplit/>
          <w:trHeight w:val="855"/>
        </w:trPr>
        <w:tc>
          <w:tcPr>
            <w:tcW w:w="390" w:type="pct"/>
            <w:tcBorders>
              <w:top w:val="single" w:sz="4" w:space="0" w:color="auto"/>
            </w:tcBorders>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技師法</w:t>
            </w:r>
          </w:p>
        </w:tc>
        <w:tc>
          <w:tcPr>
            <w:tcW w:w="842" w:type="pct"/>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3E4A4F" w:rsidRPr="00E144D6">
              <w:rPr>
                <w:rFonts w:ascii="標楷體" w:eastAsia="標楷體" w:hAnsi="標楷體" w:hint="eastAsia"/>
                <w:sz w:val="20"/>
                <w:szCs w:val="20"/>
              </w:rPr>
              <w:t>50</w:t>
            </w:r>
            <w:r w:rsidRPr="00E144D6">
              <w:rPr>
                <w:rFonts w:ascii="標楷體" w:eastAsia="標楷體" w:hAnsi="標楷體" w:hint="eastAsia"/>
                <w:sz w:val="20"/>
                <w:szCs w:val="20"/>
              </w:rPr>
              <w:t>條</w:t>
            </w:r>
          </w:p>
        </w:tc>
        <w:tc>
          <w:tcPr>
            <w:tcW w:w="1935" w:type="pct"/>
          </w:tcPr>
          <w:p w:rsidR="00FA7D7D" w:rsidRPr="00E144D6" w:rsidRDefault="00FA7D7D"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未依法取得技師資格，擅自執行技師業務者。</w:t>
            </w:r>
          </w:p>
        </w:tc>
        <w:tc>
          <w:tcPr>
            <w:tcW w:w="1833" w:type="pct"/>
          </w:tcPr>
          <w:p w:rsidR="003E4A4F" w:rsidRPr="00E144D6" w:rsidRDefault="003E4A4F"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中央</w:t>
            </w:r>
            <w:proofErr w:type="gramStart"/>
            <w:r w:rsidRPr="00E144D6">
              <w:rPr>
                <w:rFonts w:ascii="標楷體" w:eastAsia="標楷體" w:hAnsi="標楷體" w:hint="eastAsia"/>
                <w:sz w:val="20"/>
                <w:szCs w:val="20"/>
              </w:rPr>
              <w:t>主管機關應命其</w:t>
            </w:r>
            <w:proofErr w:type="gramEnd"/>
            <w:r w:rsidRPr="00E144D6">
              <w:rPr>
                <w:rFonts w:ascii="標楷體" w:eastAsia="標楷體" w:hAnsi="標楷體" w:hint="eastAsia"/>
                <w:sz w:val="20"/>
                <w:szCs w:val="20"/>
              </w:rPr>
              <w:t>停止，並處新臺幣20萬元以上100萬元以下之罰鍰；其不停止行為者，得按次處罰。</w:t>
            </w:r>
          </w:p>
        </w:tc>
      </w:tr>
    </w:tbl>
    <w:p w:rsidR="00D33F16" w:rsidRPr="00E144D6" w:rsidRDefault="00D33F16" w:rsidP="00E144D6">
      <w:pPr>
        <w:snapToGrid w:val="0"/>
        <w:spacing w:line="240" w:lineRule="exact"/>
        <w:ind w:left="600" w:hangingChars="300" w:hanging="600"/>
        <w:rPr>
          <w:rFonts w:ascii="標楷體" w:eastAsia="標楷體" w:hAnsi="標楷體" w:hint="eastAsia"/>
          <w:sz w:val="20"/>
          <w:szCs w:val="20"/>
        </w:rPr>
      </w:pPr>
      <w:r w:rsidRPr="00E144D6">
        <w:rPr>
          <w:rFonts w:ascii="標楷體" w:eastAsia="標楷體" w:hAnsi="標楷體" w:hint="eastAsia"/>
          <w:sz w:val="20"/>
          <w:szCs w:val="20"/>
        </w:rPr>
        <w:t>備註：其他各中央目的事業主管機關或地方政府所頒行之相關法規如</w:t>
      </w:r>
      <w:proofErr w:type="gramStart"/>
      <w:r w:rsidRPr="00E144D6">
        <w:rPr>
          <w:rFonts w:ascii="標楷體" w:eastAsia="標楷體" w:hAnsi="標楷體" w:hint="eastAsia"/>
          <w:sz w:val="20"/>
          <w:szCs w:val="20"/>
        </w:rPr>
        <w:t>勞</w:t>
      </w:r>
      <w:proofErr w:type="gramEnd"/>
      <w:r w:rsidRPr="00E144D6">
        <w:rPr>
          <w:rFonts w:ascii="標楷體" w:eastAsia="標楷體" w:hAnsi="標楷體" w:hint="eastAsia"/>
          <w:sz w:val="20"/>
          <w:szCs w:val="20"/>
        </w:rPr>
        <w:t>安衛、環保、水利、水保、共同管道、建築、鐵公路等另有規定者，依其規定辦理。</w:t>
      </w:r>
    </w:p>
    <w:p w:rsidR="00D33F16" w:rsidRPr="00E144D6" w:rsidRDefault="00D33F16" w:rsidP="00E144D6">
      <w:pPr>
        <w:spacing w:line="320" w:lineRule="exact"/>
        <w:rPr>
          <w:rFonts w:ascii="標楷體" w:eastAsia="標楷體" w:hAnsi="標楷體"/>
        </w:rPr>
      </w:pPr>
      <w:r w:rsidRPr="00E144D6">
        <w:rPr>
          <w:rFonts w:ascii="標楷體" w:eastAsia="標楷體" w:hAnsi="標楷體"/>
          <w:sz w:val="20"/>
          <w:szCs w:val="20"/>
        </w:rPr>
        <w:br w:type="page"/>
      </w:r>
      <w:r w:rsidRPr="00E144D6">
        <w:rPr>
          <w:rFonts w:ascii="標楷體" w:eastAsia="標楷體" w:hAnsi="標楷體" w:hint="eastAsia"/>
        </w:rPr>
        <w:lastRenderedPageBreak/>
        <w:t>（二）辦理公共工程採購可能涉及之相關民事責任之法規</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541"/>
        <w:gridCol w:w="3553"/>
        <w:gridCol w:w="3877"/>
      </w:tblGrid>
      <w:tr w:rsidR="00D33F16" w:rsidRPr="00E144D6">
        <w:tblPrEx>
          <w:tblCellMar>
            <w:top w:w="0" w:type="dxa"/>
            <w:bottom w:w="0" w:type="dxa"/>
          </w:tblCellMar>
        </w:tblPrEx>
        <w:trPr>
          <w:tblHeader/>
        </w:trPr>
        <w:tc>
          <w:tcPr>
            <w:tcW w:w="594" w:type="pct"/>
            <w:vAlign w:val="center"/>
          </w:tcPr>
          <w:p w:rsidR="00D33F16" w:rsidRPr="00E144D6" w:rsidRDefault="00D33F16" w:rsidP="00E144D6">
            <w:pPr>
              <w:snapToGrid w:val="0"/>
              <w:spacing w:before="100" w:beforeAutospacing="1" w:after="100" w:afterAutospacing="1"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法規名稱</w:t>
            </w:r>
          </w:p>
        </w:tc>
        <w:tc>
          <w:tcPr>
            <w:tcW w:w="757" w:type="pct"/>
            <w:vAlign w:val="center"/>
          </w:tcPr>
          <w:p w:rsidR="00D33F16" w:rsidRPr="00E144D6" w:rsidRDefault="00D33F16" w:rsidP="00E144D6">
            <w:pPr>
              <w:snapToGrid w:val="0"/>
              <w:spacing w:before="100" w:beforeAutospacing="1" w:after="100" w:afterAutospacing="1"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745" w:type="pct"/>
            <w:vAlign w:val="center"/>
          </w:tcPr>
          <w:p w:rsidR="00D33F16" w:rsidRPr="00E144D6" w:rsidRDefault="00D33F16" w:rsidP="00E144D6">
            <w:pPr>
              <w:snapToGrid w:val="0"/>
              <w:spacing w:before="100" w:beforeAutospacing="1" w:after="100" w:afterAutospacing="1"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904" w:type="pct"/>
            <w:vAlign w:val="center"/>
          </w:tcPr>
          <w:p w:rsidR="00D33F16" w:rsidRPr="00E144D6" w:rsidRDefault="00D33F16" w:rsidP="00E144D6">
            <w:pPr>
              <w:snapToGrid w:val="0"/>
              <w:spacing w:before="100" w:beforeAutospacing="1" w:after="100" w:afterAutospacing="1"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相關責任規定</w:t>
            </w: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sz w:val="20"/>
                <w:szCs w:val="20"/>
              </w:rPr>
              <w:t>第</w:t>
            </w:r>
            <w:r w:rsidRPr="00E144D6">
              <w:rPr>
                <w:rFonts w:ascii="標楷體" w:eastAsia="標楷體" w:hAnsi="標楷體" w:hint="eastAsia"/>
                <w:sz w:val="20"/>
                <w:szCs w:val="20"/>
              </w:rPr>
              <w:t>31條</w:t>
            </w:r>
          </w:p>
        </w:tc>
        <w:tc>
          <w:tcPr>
            <w:tcW w:w="1745" w:type="pct"/>
          </w:tcPr>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一、以偽造、變造之文件投標。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二、投標廠商另行借用他人名義或證件投標。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三、冒用他人名義或證件投標。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四、在</w:t>
            </w:r>
            <w:r w:rsidRPr="00E144D6">
              <w:rPr>
                <w:rFonts w:ascii="標楷體" w:eastAsia="標楷體" w:hAnsi="標楷體" w:hint="eastAsia"/>
                <w:bCs/>
                <w:sz w:val="20"/>
              </w:rPr>
              <w:t>報價有效期間內撤回其報</w:t>
            </w:r>
            <w:r w:rsidRPr="00E144D6">
              <w:rPr>
                <w:rFonts w:ascii="標楷體" w:eastAsia="標楷體" w:hAnsi="標楷體" w:hint="eastAsia"/>
                <w:sz w:val="20"/>
              </w:rPr>
              <w:t>價。</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五、開標後應得標者不接受決標或拒不簽約。</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六、得標後未於規定期限內，繳足保證金或提供擔保。</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七、押標金轉換為保證金。</w:t>
            </w:r>
          </w:p>
          <w:p w:rsidR="00D33F16" w:rsidRPr="00E144D6" w:rsidRDefault="00D33F16"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八、其他經主管機關認定有影響採購公正之違反法令行為者。</w:t>
            </w:r>
          </w:p>
        </w:tc>
        <w:tc>
          <w:tcPr>
            <w:tcW w:w="1904" w:type="pct"/>
          </w:tcPr>
          <w:p w:rsidR="00D33F16" w:rsidRPr="00E144D6" w:rsidRDefault="00D33F16" w:rsidP="00E144D6">
            <w:pPr>
              <w:pStyle w:val="27"/>
              <w:spacing w:line="240" w:lineRule="exact"/>
              <w:ind w:left="0" w:firstLine="0"/>
              <w:rPr>
                <w:rFonts w:ascii="標楷體" w:eastAsia="標楷體" w:hAnsi="標楷體"/>
                <w:sz w:val="20"/>
                <w:u w:val="single"/>
              </w:rPr>
            </w:pPr>
            <w:r w:rsidRPr="00E144D6">
              <w:rPr>
                <w:rFonts w:ascii="標楷體" w:eastAsia="標楷體" w:hAnsi="標楷體" w:hint="eastAsia"/>
                <w:sz w:val="20"/>
              </w:rPr>
              <w:t>機關得於招標文件中規定，廠商有左列情形之</w:t>
            </w:r>
            <w:proofErr w:type="gramStart"/>
            <w:r w:rsidRPr="00E144D6">
              <w:rPr>
                <w:rFonts w:ascii="標楷體" w:eastAsia="標楷體" w:hAnsi="標楷體" w:hint="eastAsia"/>
                <w:sz w:val="20"/>
              </w:rPr>
              <w:t>一</w:t>
            </w:r>
            <w:proofErr w:type="gramEnd"/>
            <w:r w:rsidRPr="00E144D6">
              <w:rPr>
                <w:rFonts w:ascii="標楷體" w:eastAsia="標楷體" w:hAnsi="標楷體" w:hint="eastAsia"/>
                <w:sz w:val="20"/>
              </w:rPr>
              <w:t>者，其所繳納之押標金，不予發還，其已發還者，並予追繳。</w:t>
            </w:r>
          </w:p>
          <w:p w:rsidR="00D33F16" w:rsidRPr="00E144D6" w:rsidRDefault="00D33F16" w:rsidP="00E144D6">
            <w:pPr>
              <w:spacing w:line="240" w:lineRule="exact"/>
              <w:rPr>
                <w:rFonts w:ascii="標楷體" w:eastAsia="標楷體" w:hAnsi="標楷體" w:hint="eastAsia"/>
                <w:sz w:val="20"/>
                <w:szCs w:val="20"/>
              </w:rPr>
            </w:pPr>
          </w:p>
        </w:tc>
      </w:tr>
      <w:tr w:rsidR="00D33F16" w:rsidRPr="00E144D6">
        <w:tblPrEx>
          <w:tblCellMar>
            <w:top w:w="0" w:type="dxa"/>
            <w:bottom w:w="0" w:type="dxa"/>
          </w:tblCellMar>
        </w:tblPrEx>
        <w:trPr>
          <w:cantSplit/>
          <w:trHeight w:val="1012"/>
          <w:tblHeader/>
        </w:trPr>
        <w:tc>
          <w:tcPr>
            <w:tcW w:w="594"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757"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w:t>
            </w:r>
          </w:p>
        </w:tc>
        <w:tc>
          <w:tcPr>
            <w:tcW w:w="1745" w:type="pct"/>
            <w:tcBorders>
              <w:bottom w:val="single" w:sz="4" w:space="0" w:color="auto"/>
            </w:tcBorders>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得標廠商有招標文件規定之不發還其繳納之全部或部分保證金及其孳息之情形。（請參照</w:t>
            </w:r>
            <w:proofErr w:type="gramStart"/>
            <w:r w:rsidRPr="00E144D6">
              <w:rPr>
                <w:rFonts w:ascii="標楷體" w:eastAsia="標楷體" w:hAnsi="標楷體" w:hint="eastAsia"/>
                <w:sz w:val="20"/>
              </w:rPr>
              <w:t>押</w:t>
            </w:r>
            <w:proofErr w:type="gramEnd"/>
            <w:r w:rsidRPr="00E144D6">
              <w:rPr>
                <w:rFonts w:ascii="標楷體" w:eastAsia="標楷體" w:hAnsi="標楷體" w:hint="eastAsia"/>
                <w:sz w:val="20"/>
              </w:rPr>
              <w:t>標金保證金暨其他擔保作業辦法第20條規定）</w:t>
            </w:r>
          </w:p>
        </w:tc>
        <w:tc>
          <w:tcPr>
            <w:tcW w:w="1904" w:type="pct"/>
            <w:tcBorders>
              <w:bottom w:val="single" w:sz="4" w:space="0" w:color="auto"/>
            </w:tcBorders>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廠商如有違反，機關得不發還其所繳納之全部或部分保證金及其孳息。</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第50條</w:t>
            </w:r>
          </w:p>
        </w:tc>
        <w:tc>
          <w:tcPr>
            <w:tcW w:w="1745" w:type="pct"/>
          </w:tcPr>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一、未依招標文件之規定投標。</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二、投標文件內容不符合招標文件之規定。</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三、借用或冒用他人名義或證件，或以偽造、變造之文件投標。</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四、偽造或變造投標文件。</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五、不同投標廠商間之投標文件內容有重大異常關聯者。</w:t>
            </w:r>
          </w:p>
          <w:p w:rsidR="00D33F16" w:rsidRPr="00E144D6" w:rsidRDefault="00D33F16" w:rsidP="00E144D6">
            <w:pPr>
              <w:pStyle w:val="19"/>
              <w:snapToGrid w:val="0"/>
              <w:spacing w:line="240" w:lineRule="exact"/>
              <w:ind w:left="400" w:hangingChars="200" w:hanging="400"/>
              <w:rPr>
                <w:rFonts w:ascii="標楷體" w:eastAsia="標楷體" w:hAnsi="標楷體" w:hint="eastAsia"/>
                <w:sz w:val="20"/>
              </w:rPr>
            </w:pPr>
            <w:r w:rsidRPr="00E144D6">
              <w:rPr>
                <w:rFonts w:ascii="標楷體" w:eastAsia="標楷體" w:hAnsi="標楷體" w:hint="eastAsia"/>
                <w:sz w:val="20"/>
              </w:rPr>
              <w:t>六、第103條第1項不得參加投標或作為決標對象之情形。</w:t>
            </w:r>
          </w:p>
          <w:p w:rsidR="00D33F16" w:rsidRPr="00E144D6" w:rsidRDefault="00D33F16"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七、其他影響採購公正之違反法令行為。</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投標廠商有左列情形之一，經機關於開標前發現者，其所投之標應不予開標；於開標後發現者，應不</w:t>
            </w:r>
            <w:proofErr w:type="gramStart"/>
            <w:r w:rsidRPr="00E144D6">
              <w:rPr>
                <w:rFonts w:ascii="標楷體" w:eastAsia="標楷體" w:hAnsi="標楷體" w:hint="eastAsia"/>
                <w:sz w:val="20"/>
                <w:szCs w:val="20"/>
              </w:rPr>
              <w:t>決標予該</w:t>
            </w:r>
            <w:proofErr w:type="gramEnd"/>
            <w:r w:rsidRPr="00E144D6">
              <w:rPr>
                <w:rFonts w:ascii="標楷體" w:eastAsia="標楷體" w:hAnsi="標楷體" w:hint="eastAsia"/>
                <w:sz w:val="20"/>
                <w:szCs w:val="20"/>
              </w:rPr>
              <w:t>廠商。</w:t>
            </w:r>
          </w:p>
          <w:p w:rsidR="00D33F16" w:rsidRPr="00E144D6" w:rsidRDefault="00D33F16" w:rsidP="00E144D6">
            <w:pPr>
              <w:pStyle w:val="27"/>
              <w:adjustRightInd/>
              <w:spacing w:line="240" w:lineRule="exact"/>
              <w:ind w:left="0" w:firstLine="0"/>
              <w:rPr>
                <w:rFonts w:ascii="標楷體" w:eastAsia="標楷體" w:hAnsi="標楷體"/>
                <w:sz w:val="20"/>
              </w:rPr>
            </w:pPr>
            <w:r w:rsidRPr="00E144D6">
              <w:rPr>
                <w:rFonts w:ascii="標楷體" w:eastAsia="標楷體" w:hAnsi="標楷體" w:hint="eastAsia"/>
                <w:sz w:val="20"/>
              </w:rPr>
              <w:t>決標或簽約後發現得標廠商於決標前有前項情形者，應撤銷決標、終止契約或解除契約，並得追償損失。但撤銷決標、終止契約或解除契約反不符公共利益，並經上級機關核准者，不在此限。</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第1項不予開標或不予決標，致採購程序無法繼續進行者，機關得宣布廢標。</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第63條</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違反採購契約約定-廠商規劃設計錯誤、監造不實或管理不善，致機關遭受損害之責任。</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契約經訂定後，對廠商與機關均發生拘束力，廠商如</w:t>
            </w:r>
            <w:proofErr w:type="gramStart"/>
            <w:r w:rsidRPr="00E144D6">
              <w:rPr>
                <w:rFonts w:ascii="標楷體" w:eastAsia="標楷體" w:hAnsi="標楷體" w:hint="eastAsia"/>
                <w:sz w:val="20"/>
                <w:szCs w:val="20"/>
              </w:rPr>
              <w:t>不</w:t>
            </w:r>
            <w:proofErr w:type="gramEnd"/>
            <w:r w:rsidRPr="00E144D6">
              <w:rPr>
                <w:rFonts w:ascii="標楷體" w:eastAsia="標楷體" w:hAnsi="標楷體" w:hint="eastAsia"/>
                <w:sz w:val="20"/>
                <w:szCs w:val="20"/>
              </w:rPr>
              <w:t>遵行，自應負契約責任（如逾期罰款、違約金、不發還履保金、損害賠償等）。</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第66條</w:t>
            </w:r>
          </w:p>
        </w:tc>
        <w:tc>
          <w:tcPr>
            <w:tcW w:w="1745" w:type="pct"/>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 xml:space="preserve">得標廠商違反轉包之規定 </w:t>
            </w:r>
          </w:p>
        </w:tc>
        <w:tc>
          <w:tcPr>
            <w:tcW w:w="1904" w:type="pct"/>
          </w:tcPr>
          <w:p w:rsidR="00D33F16" w:rsidRPr="00E144D6" w:rsidRDefault="00D33F16" w:rsidP="00E144D6">
            <w:pPr>
              <w:pStyle w:val="17"/>
              <w:spacing w:before="0" w:line="240" w:lineRule="exact"/>
              <w:ind w:left="0" w:firstLine="0"/>
              <w:rPr>
                <w:rFonts w:ascii="標楷體" w:eastAsia="標楷體" w:hAnsi="標楷體"/>
                <w:sz w:val="20"/>
              </w:rPr>
            </w:pPr>
            <w:r w:rsidRPr="00E144D6">
              <w:rPr>
                <w:rFonts w:ascii="標楷體" w:eastAsia="標楷體" w:hAnsi="標楷體" w:hint="eastAsia"/>
                <w:sz w:val="20"/>
              </w:rPr>
              <w:t>機關得解除契約、終止契約或沒收保證金，並得要求損害賠償。</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轉包廠商與得標廠商對機關負連帶履行及賠償責任。再</w:t>
            </w:r>
            <w:proofErr w:type="gramStart"/>
            <w:r w:rsidRPr="00E144D6">
              <w:rPr>
                <w:rFonts w:ascii="標楷體" w:eastAsia="標楷體" w:hAnsi="標楷體" w:hint="eastAsia"/>
                <w:sz w:val="20"/>
                <w:szCs w:val="20"/>
              </w:rPr>
              <w:t>轉包者</w:t>
            </w:r>
            <w:proofErr w:type="gramEnd"/>
            <w:r w:rsidRPr="00E144D6">
              <w:rPr>
                <w:rFonts w:ascii="標楷體" w:eastAsia="標楷體" w:hAnsi="標楷體" w:hint="eastAsia"/>
                <w:sz w:val="20"/>
                <w:szCs w:val="20"/>
              </w:rPr>
              <w:t>，亦同。</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第70條</w:t>
            </w:r>
          </w:p>
        </w:tc>
        <w:tc>
          <w:tcPr>
            <w:tcW w:w="1745" w:type="pct"/>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工程品質及進度等相關規定</w:t>
            </w:r>
          </w:p>
        </w:tc>
        <w:tc>
          <w:tcPr>
            <w:tcW w:w="1904" w:type="pct"/>
          </w:tcPr>
          <w:p w:rsidR="00D33F16" w:rsidRPr="00E144D6" w:rsidRDefault="00D33F16" w:rsidP="00E144D6">
            <w:pPr>
              <w:pStyle w:val="17"/>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參閱工程施工查核小組作業辦法第10條及公共工程施工品質管理作業要點之規定。</w:t>
            </w:r>
          </w:p>
        </w:tc>
      </w:tr>
      <w:tr w:rsidR="00D33F16" w:rsidRPr="00E144D6" w:rsidTr="00E144D6">
        <w:tblPrEx>
          <w:tblCellMar>
            <w:top w:w="0" w:type="dxa"/>
            <w:bottom w:w="0" w:type="dxa"/>
          </w:tblCellMar>
        </w:tblPrEx>
        <w:trPr>
          <w:cantSplit/>
          <w:trHeight w:val="3720"/>
          <w:tblHeader/>
        </w:trPr>
        <w:tc>
          <w:tcPr>
            <w:tcW w:w="594"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757"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第72條</w:t>
            </w:r>
          </w:p>
        </w:tc>
        <w:tc>
          <w:tcPr>
            <w:tcW w:w="1745" w:type="pct"/>
            <w:tcBorders>
              <w:bottom w:val="single" w:sz="4" w:space="0" w:color="auto"/>
            </w:tcBorders>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驗收不符之規定</w:t>
            </w:r>
          </w:p>
        </w:tc>
        <w:tc>
          <w:tcPr>
            <w:tcW w:w="1904" w:type="pct"/>
            <w:tcBorders>
              <w:bottom w:val="single" w:sz="4" w:space="0" w:color="auto"/>
            </w:tcBorders>
          </w:tcPr>
          <w:p w:rsidR="00D33F16" w:rsidRPr="00E144D6" w:rsidRDefault="00D33F16" w:rsidP="00E144D6">
            <w:pPr>
              <w:pStyle w:val="17"/>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rsidR="00D33F16" w:rsidRPr="00E144D6" w:rsidRDefault="00D33F16" w:rsidP="00E144D6">
            <w:pPr>
              <w:pStyle w:val="17"/>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驗收結果與規定不符，而不妨礙安全及使用需求，亦無減少通常效用或契約預定效用，經機關檢討不必拆換或</w:t>
            </w:r>
            <w:proofErr w:type="gramStart"/>
            <w:r w:rsidRPr="00E144D6">
              <w:rPr>
                <w:rFonts w:ascii="標楷體" w:eastAsia="標楷體" w:hAnsi="標楷體" w:hint="eastAsia"/>
                <w:sz w:val="20"/>
              </w:rPr>
              <w:t>拆換確有</w:t>
            </w:r>
            <w:proofErr w:type="gramEnd"/>
            <w:r w:rsidRPr="00E144D6">
              <w:rPr>
                <w:rFonts w:ascii="標楷體" w:eastAsia="標楷體" w:hAnsi="標楷體" w:hint="eastAsia"/>
                <w:sz w:val="20"/>
              </w:rPr>
              <w:t>困難者，得於必要時減價收受。其在查核金額以上之採購，應先報經上級機關核准；未達查核金額之採購，應經機關首長或其授權人員核准。</w:t>
            </w:r>
          </w:p>
          <w:p w:rsidR="00D33F16" w:rsidRPr="00E144D6" w:rsidRDefault="00D33F16" w:rsidP="00E144D6">
            <w:pPr>
              <w:pStyle w:val="17"/>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驗收人對工程、財物隱蔽部分，於必要時得拆驗或化驗。</w:t>
            </w:r>
          </w:p>
        </w:tc>
      </w:tr>
    </w:tbl>
    <w:p w:rsidR="00D33F16" w:rsidRPr="00E144D6" w:rsidRDefault="00D33F16" w:rsidP="00E144D6">
      <w:pPr>
        <w:snapToGrid w:val="0"/>
        <w:spacing w:line="240" w:lineRule="exact"/>
        <w:ind w:left="600" w:hangingChars="300" w:hanging="600"/>
        <w:rPr>
          <w:rFonts w:ascii="標楷體" w:eastAsia="標楷體" w:hAnsi="標楷體" w:hint="eastAsia"/>
          <w:sz w:val="20"/>
          <w:szCs w:val="20"/>
        </w:rPr>
      </w:pPr>
      <w:r w:rsidRPr="00E144D6">
        <w:rPr>
          <w:rFonts w:ascii="標楷體" w:eastAsia="標楷體" w:hAnsi="標楷體" w:hint="eastAsia"/>
          <w:sz w:val="20"/>
          <w:szCs w:val="20"/>
        </w:rPr>
        <w:t>備註：有關委託設計監造契約，對於廠商規劃設計錯誤、監造不實或管理不善，致機關遭受損害情事及遲延履約、驗收不符規定、監工人員未能達品質要求等，</w:t>
      </w:r>
      <w:proofErr w:type="gramStart"/>
      <w:r w:rsidRPr="00E144D6">
        <w:rPr>
          <w:rFonts w:ascii="標楷體" w:eastAsia="標楷體" w:hAnsi="標楷體" w:hint="eastAsia"/>
          <w:sz w:val="20"/>
          <w:szCs w:val="20"/>
        </w:rPr>
        <w:t>均列有</w:t>
      </w:r>
      <w:proofErr w:type="gramEnd"/>
      <w:r w:rsidRPr="00E144D6">
        <w:rPr>
          <w:rFonts w:ascii="標楷體" w:eastAsia="標楷體" w:hAnsi="標楷體" w:hint="eastAsia"/>
          <w:sz w:val="20"/>
          <w:szCs w:val="20"/>
        </w:rPr>
        <w:t>契約責任，應依其規定辦理。</w:t>
      </w:r>
    </w:p>
    <w:p w:rsidR="00D33F16" w:rsidRPr="00E144D6" w:rsidRDefault="00D33F16" w:rsidP="00E144D6">
      <w:pPr>
        <w:spacing w:line="320" w:lineRule="exact"/>
        <w:rPr>
          <w:rFonts w:ascii="標楷體" w:eastAsia="標楷體" w:hAnsi="標楷體"/>
        </w:rPr>
      </w:pPr>
      <w:r w:rsidRPr="00E144D6">
        <w:rPr>
          <w:rFonts w:ascii="標楷體" w:eastAsia="標楷體" w:hAnsi="標楷體"/>
          <w:sz w:val="20"/>
          <w:szCs w:val="20"/>
        </w:rPr>
        <w:br w:type="page"/>
      </w:r>
      <w:r w:rsidRPr="00E144D6">
        <w:rPr>
          <w:rFonts w:ascii="標楷體" w:eastAsia="標楷體" w:hAnsi="標楷體" w:hint="eastAsia"/>
        </w:rPr>
        <w:lastRenderedPageBreak/>
        <w:t>（三）辦理公共工程採購可能涉及之相關行政責任之法規</w:t>
      </w:r>
    </w:p>
    <w:tbl>
      <w:tblPr>
        <w:tblW w:w="51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0"/>
        <w:gridCol w:w="1541"/>
        <w:gridCol w:w="3553"/>
        <w:gridCol w:w="3877"/>
      </w:tblGrid>
      <w:tr w:rsidR="00D33F16" w:rsidRPr="00E144D6">
        <w:tblPrEx>
          <w:tblCellMar>
            <w:top w:w="0" w:type="dxa"/>
            <w:bottom w:w="0" w:type="dxa"/>
          </w:tblCellMar>
        </w:tblPrEx>
        <w:trPr>
          <w:tblHeader/>
        </w:trPr>
        <w:tc>
          <w:tcPr>
            <w:tcW w:w="594" w:type="pct"/>
            <w:vAlign w:val="center"/>
          </w:tcPr>
          <w:p w:rsidR="00D33F16" w:rsidRPr="00E144D6" w:rsidRDefault="00D33F16" w:rsidP="00E144D6">
            <w:pPr>
              <w:spacing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法規名稱</w:t>
            </w:r>
          </w:p>
        </w:tc>
        <w:tc>
          <w:tcPr>
            <w:tcW w:w="757"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745"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904"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相關責任規定</w:t>
            </w:r>
          </w:p>
        </w:tc>
      </w:tr>
      <w:tr w:rsidR="00D33F16" w:rsidRPr="00E144D6">
        <w:tblPrEx>
          <w:tblCellMar>
            <w:top w:w="0" w:type="dxa"/>
            <w:bottom w:w="0" w:type="dxa"/>
          </w:tblCellMar>
        </w:tblPrEx>
        <w:trPr>
          <w:cantSplit/>
          <w:tblHeader/>
        </w:trPr>
        <w:tc>
          <w:tcPr>
            <w:tcW w:w="59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sz w:val="20"/>
                <w:szCs w:val="20"/>
              </w:rPr>
              <w:t>第</w:t>
            </w:r>
            <w:r w:rsidRPr="00E144D6">
              <w:rPr>
                <w:rFonts w:ascii="標楷體" w:eastAsia="標楷體" w:hAnsi="標楷體" w:hint="eastAsia"/>
                <w:sz w:val="20"/>
                <w:szCs w:val="20"/>
              </w:rPr>
              <w:t>101條至</w:t>
            </w:r>
            <w:r w:rsidRPr="00E144D6">
              <w:rPr>
                <w:rFonts w:ascii="標楷體" w:eastAsia="標楷體" w:hAnsi="標楷體"/>
                <w:sz w:val="20"/>
                <w:szCs w:val="20"/>
              </w:rPr>
              <w:t>第</w:t>
            </w:r>
            <w:r w:rsidRPr="00E144D6">
              <w:rPr>
                <w:rFonts w:ascii="標楷體" w:eastAsia="標楷體" w:hAnsi="標楷體" w:hint="eastAsia"/>
                <w:sz w:val="20"/>
                <w:szCs w:val="20"/>
              </w:rPr>
              <w:t>103條</w:t>
            </w:r>
          </w:p>
        </w:tc>
        <w:tc>
          <w:tcPr>
            <w:tcW w:w="1745" w:type="pct"/>
          </w:tcPr>
          <w:p w:rsidR="00D33F16" w:rsidRPr="00E144D6" w:rsidRDefault="00D33F16" w:rsidP="00E144D6">
            <w:pPr>
              <w:pStyle w:val="210"/>
              <w:spacing w:before="0" w:line="240" w:lineRule="exact"/>
              <w:ind w:left="0" w:firstLine="0"/>
              <w:rPr>
                <w:rFonts w:ascii="標楷體" w:eastAsia="標楷體" w:hAnsi="標楷體"/>
                <w:sz w:val="20"/>
              </w:rPr>
            </w:pPr>
            <w:r w:rsidRPr="00E144D6">
              <w:rPr>
                <w:rFonts w:ascii="標楷體" w:eastAsia="標楷體" w:hAnsi="標楷體" w:hint="eastAsia"/>
                <w:sz w:val="20"/>
              </w:rPr>
              <w:t>機關辦理採購，發現廠商有下列情形之一，應將其事實及理由通知廠商，並</w:t>
            </w:r>
            <w:proofErr w:type="gramStart"/>
            <w:r w:rsidRPr="00E144D6">
              <w:rPr>
                <w:rFonts w:ascii="標楷體" w:eastAsia="標楷體" w:hAnsi="標楷體" w:hint="eastAsia"/>
                <w:sz w:val="20"/>
              </w:rPr>
              <w:t>附記如未</w:t>
            </w:r>
            <w:proofErr w:type="gramEnd"/>
            <w:r w:rsidRPr="00E144D6">
              <w:rPr>
                <w:rFonts w:ascii="標楷體" w:eastAsia="標楷體" w:hAnsi="標楷體" w:hint="eastAsia"/>
                <w:sz w:val="20"/>
              </w:rPr>
              <w:t>提出異議者，將刊登政府採購公報：</w:t>
            </w:r>
          </w:p>
          <w:p w:rsidR="00D33F16" w:rsidRPr="00E144D6" w:rsidRDefault="00D33F16" w:rsidP="00E144D6">
            <w:pPr>
              <w:pStyle w:val="220"/>
              <w:spacing w:line="240" w:lineRule="exact"/>
              <w:ind w:left="532" w:hanging="480"/>
              <w:rPr>
                <w:rFonts w:ascii="標楷體" w:eastAsia="標楷體" w:hAnsi="標楷體"/>
                <w:sz w:val="20"/>
              </w:rPr>
            </w:pPr>
            <w:r w:rsidRPr="00E144D6">
              <w:rPr>
                <w:rFonts w:ascii="標楷體" w:eastAsia="標楷體" w:hAnsi="標楷體" w:hint="eastAsia"/>
                <w:sz w:val="20"/>
              </w:rPr>
              <w:t>一、容許他人借用本人名義或證件參加投標者。</w:t>
            </w:r>
          </w:p>
          <w:p w:rsidR="00D33F16" w:rsidRPr="00E144D6" w:rsidRDefault="00D33F16" w:rsidP="00E144D6">
            <w:pPr>
              <w:pStyle w:val="220"/>
              <w:spacing w:line="240" w:lineRule="exact"/>
              <w:ind w:left="552" w:hanging="500"/>
              <w:rPr>
                <w:rFonts w:ascii="標楷體" w:eastAsia="標楷體" w:hAnsi="標楷體"/>
                <w:sz w:val="20"/>
              </w:rPr>
            </w:pPr>
            <w:r w:rsidRPr="00E144D6">
              <w:rPr>
                <w:rFonts w:ascii="標楷體" w:eastAsia="標楷體" w:hAnsi="標楷體" w:hint="eastAsia"/>
                <w:sz w:val="20"/>
              </w:rPr>
              <w:t>二、借用或冒用他人名義或證件，或以偽造、變造之文件參加投標、訂約或履約者。</w:t>
            </w:r>
          </w:p>
          <w:p w:rsidR="00D33F16" w:rsidRPr="00E144D6" w:rsidRDefault="00D33F16" w:rsidP="00E144D6">
            <w:pPr>
              <w:pStyle w:val="220"/>
              <w:spacing w:line="240" w:lineRule="exact"/>
              <w:ind w:left="1052" w:hanging="1000"/>
              <w:rPr>
                <w:rFonts w:ascii="標楷體" w:eastAsia="標楷體" w:hAnsi="標楷體"/>
                <w:sz w:val="20"/>
              </w:rPr>
            </w:pPr>
            <w:r w:rsidRPr="00E144D6">
              <w:rPr>
                <w:rFonts w:ascii="標楷體" w:eastAsia="標楷體" w:hAnsi="標楷體" w:hint="eastAsia"/>
                <w:sz w:val="20"/>
              </w:rPr>
              <w:t>三、擅自減省工料情節重大者。</w:t>
            </w:r>
          </w:p>
          <w:p w:rsidR="00D33F16" w:rsidRPr="00E144D6" w:rsidRDefault="00D33F16" w:rsidP="00E144D6">
            <w:pPr>
              <w:pStyle w:val="220"/>
              <w:spacing w:line="240" w:lineRule="exact"/>
              <w:ind w:left="572" w:hanging="520"/>
              <w:rPr>
                <w:rFonts w:ascii="標楷體" w:eastAsia="標楷體" w:hAnsi="標楷體"/>
                <w:sz w:val="20"/>
              </w:rPr>
            </w:pPr>
            <w:r w:rsidRPr="00E144D6">
              <w:rPr>
                <w:rFonts w:ascii="標楷體" w:eastAsia="標楷體" w:hAnsi="標楷體" w:hint="eastAsia"/>
                <w:sz w:val="20"/>
              </w:rPr>
              <w:t>四、偽造、變造投標、契約或履約相關文件者。</w:t>
            </w:r>
          </w:p>
          <w:p w:rsidR="00D33F16" w:rsidRPr="00E144D6" w:rsidRDefault="00D33F16" w:rsidP="00E144D6">
            <w:pPr>
              <w:pStyle w:val="220"/>
              <w:spacing w:line="240" w:lineRule="exact"/>
              <w:ind w:left="552" w:hanging="500"/>
              <w:rPr>
                <w:rFonts w:ascii="標楷體" w:eastAsia="標楷體" w:hAnsi="標楷體"/>
                <w:sz w:val="20"/>
              </w:rPr>
            </w:pPr>
            <w:r w:rsidRPr="00E144D6">
              <w:rPr>
                <w:rFonts w:ascii="標楷體" w:eastAsia="標楷體" w:hAnsi="標楷體" w:hint="eastAsia"/>
                <w:sz w:val="20"/>
              </w:rPr>
              <w:t>五、受停業處分期間仍參加投標者。</w:t>
            </w:r>
          </w:p>
          <w:p w:rsidR="00D33F16" w:rsidRPr="00E144D6" w:rsidRDefault="00D33F16" w:rsidP="00E144D6">
            <w:pPr>
              <w:pStyle w:val="220"/>
              <w:spacing w:line="240" w:lineRule="exact"/>
              <w:ind w:left="572" w:hanging="520"/>
              <w:rPr>
                <w:rFonts w:ascii="標楷體" w:eastAsia="標楷體" w:hAnsi="標楷體"/>
                <w:sz w:val="20"/>
              </w:rPr>
            </w:pPr>
            <w:r w:rsidRPr="00E144D6">
              <w:rPr>
                <w:rFonts w:ascii="標楷體" w:eastAsia="標楷體" w:hAnsi="標楷體" w:hint="eastAsia"/>
                <w:sz w:val="20"/>
              </w:rPr>
              <w:t>六、犯第87條至第92條之罪，經第1審為有罪判決者。</w:t>
            </w:r>
          </w:p>
          <w:p w:rsidR="00D33F16" w:rsidRPr="00E144D6" w:rsidRDefault="00D33F16" w:rsidP="00E144D6">
            <w:pPr>
              <w:pStyle w:val="220"/>
              <w:spacing w:line="240" w:lineRule="exact"/>
              <w:ind w:left="512" w:hanging="460"/>
              <w:rPr>
                <w:rFonts w:ascii="標楷體" w:eastAsia="標楷體" w:hAnsi="標楷體"/>
                <w:sz w:val="20"/>
              </w:rPr>
            </w:pPr>
            <w:r w:rsidRPr="00E144D6">
              <w:rPr>
                <w:rFonts w:ascii="標楷體" w:eastAsia="標楷體" w:hAnsi="標楷體" w:hint="eastAsia"/>
                <w:sz w:val="20"/>
              </w:rPr>
              <w:t>七、得標後無正當理由而不訂約者。</w:t>
            </w:r>
          </w:p>
          <w:p w:rsidR="00D33F16" w:rsidRPr="00E144D6" w:rsidRDefault="00D33F16" w:rsidP="00E144D6">
            <w:pPr>
              <w:pStyle w:val="220"/>
              <w:spacing w:line="240" w:lineRule="exact"/>
              <w:ind w:left="532" w:hanging="480"/>
              <w:rPr>
                <w:rFonts w:ascii="標楷體" w:eastAsia="標楷體" w:hAnsi="標楷體"/>
                <w:sz w:val="20"/>
              </w:rPr>
            </w:pPr>
            <w:r w:rsidRPr="00E144D6">
              <w:rPr>
                <w:rFonts w:ascii="標楷體" w:eastAsia="標楷體" w:hAnsi="標楷體" w:hint="eastAsia"/>
                <w:sz w:val="20"/>
              </w:rPr>
              <w:t>八、查驗或驗收不合格，情節重大者。</w:t>
            </w:r>
          </w:p>
          <w:p w:rsidR="00D33F16" w:rsidRPr="00E144D6" w:rsidRDefault="00D33F16" w:rsidP="00E144D6">
            <w:pPr>
              <w:pStyle w:val="220"/>
              <w:spacing w:line="240" w:lineRule="exact"/>
              <w:ind w:left="1052" w:hanging="1000"/>
              <w:rPr>
                <w:rFonts w:ascii="標楷體" w:eastAsia="標楷體" w:hAnsi="標楷體"/>
                <w:sz w:val="20"/>
              </w:rPr>
            </w:pPr>
            <w:r w:rsidRPr="00E144D6">
              <w:rPr>
                <w:rFonts w:ascii="標楷體" w:eastAsia="標楷體" w:hAnsi="標楷體" w:hint="eastAsia"/>
                <w:sz w:val="20"/>
              </w:rPr>
              <w:t>九、驗收後不履行保固責任者。</w:t>
            </w:r>
          </w:p>
          <w:p w:rsidR="00D33F16" w:rsidRPr="00E144D6" w:rsidRDefault="00D33F16" w:rsidP="00E144D6">
            <w:pPr>
              <w:pStyle w:val="230"/>
              <w:spacing w:line="240" w:lineRule="exact"/>
              <w:ind w:left="492" w:hanging="440"/>
              <w:rPr>
                <w:rFonts w:ascii="標楷體" w:eastAsia="標楷體" w:hAnsi="標楷體"/>
                <w:sz w:val="20"/>
              </w:rPr>
            </w:pPr>
            <w:r w:rsidRPr="00E144D6">
              <w:rPr>
                <w:rFonts w:ascii="標楷體" w:eastAsia="標楷體" w:hAnsi="標楷體" w:hint="eastAsia"/>
                <w:sz w:val="20"/>
              </w:rPr>
              <w:t>十、因可歸責於廠商之事由，致延誤履約期限，情節重大者。</w:t>
            </w:r>
          </w:p>
          <w:p w:rsidR="00D33F16" w:rsidRPr="00E144D6" w:rsidRDefault="00D33F16" w:rsidP="00E144D6">
            <w:pPr>
              <w:pStyle w:val="220"/>
              <w:spacing w:line="240" w:lineRule="exact"/>
              <w:ind w:left="592" w:hanging="540"/>
              <w:rPr>
                <w:rFonts w:ascii="標楷體" w:eastAsia="標楷體" w:hAnsi="標楷體"/>
                <w:sz w:val="20"/>
              </w:rPr>
            </w:pPr>
            <w:r w:rsidRPr="00E144D6">
              <w:rPr>
                <w:rFonts w:ascii="標楷體" w:eastAsia="標楷體" w:hAnsi="標楷體" w:hint="eastAsia"/>
                <w:sz w:val="20"/>
              </w:rPr>
              <w:t>十一、違反第65條之規定</w:t>
            </w:r>
            <w:proofErr w:type="gramStart"/>
            <w:r w:rsidRPr="00E144D6">
              <w:rPr>
                <w:rFonts w:ascii="標楷體" w:eastAsia="標楷體" w:hAnsi="標楷體" w:hint="eastAsia"/>
                <w:sz w:val="20"/>
              </w:rPr>
              <w:t>轉包者</w:t>
            </w:r>
            <w:proofErr w:type="gramEnd"/>
            <w:r w:rsidRPr="00E144D6">
              <w:rPr>
                <w:rFonts w:ascii="標楷體" w:eastAsia="標楷體" w:hAnsi="標楷體" w:hint="eastAsia"/>
                <w:sz w:val="20"/>
              </w:rPr>
              <w:t>。</w:t>
            </w:r>
          </w:p>
          <w:p w:rsidR="00D33F16" w:rsidRPr="00E144D6" w:rsidRDefault="00D33F16" w:rsidP="00E144D6">
            <w:pPr>
              <w:pStyle w:val="220"/>
              <w:spacing w:line="240" w:lineRule="exact"/>
              <w:ind w:left="752" w:hanging="700"/>
              <w:rPr>
                <w:rFonts w:ascii="標楷體" w:eastAsia="標楷體" w:hAnsi="標楷體"/>
                <w:sz w:val="20"/>
              </w:rPr>
            </w:pPr>
            <w:r w:rsidRPr="00E144D6">
              <w:rPr>
                <w:rFonts w:ascii="標楷體" w:eastAsia="標楷體" w:hAnsi="標楷體" w:hint="eastAsia"/>
                <w:sz w:val="20"/>
              </w:rPr>
              <w:t>十二、因可歸責於廠商之事由，致解除或終止契約者。</w:t>
            </w:r>
          </w:p>
          <w:p w:rsidR="00D33F16" w:rsidRPr="00E144D6" w:rsidRDefault="00D33F16" w:rsidP="00E144D6">
            <w:pPr>
              <w:pStyle w:val="230"/>
              <w:spacing w:line="240" w:lineRule="exact"/>
              <w:ind w:left="1052" w:hanging="1040"/>
              <w:rPr>
                <w:rFonts w:ascii="標楷體" w:eastAsia="標楷體" w:hAnsi="標楷體"/>
                <w:bCs/>
                <w:sz w:val="20"/>
              </w:rPr>
            </w:pPr>
            <w:r w:rsidRPr="00E144D6">
              <w:rPr>
                <w:rFonts w:ascii="標楷體" w:eastAsia="標楷體" w:hAnsi="標楷體" w:hint="eastAsia"/>
                <w:bCs/>
                <w:sz w:val="20"/>
              </w:rPr>
              <w:t>十三、</w:t>
            </w:r>
            <w:r w:rsidRPr="00E144D6">
              <w:rPr>
                <w:rFonts w:ascii="標楷體" w:eastAsia="標楷體" w:hAnsi="標楷體" w:hint="eastAsia"/>
                <w:sz w:val="20"/>
              </w:rPr>
              <w:t>破產程序中之廠商。</w:t>
            </w:r>
          </w:p>
          <w:p w:rsidR="00D33F16" w:rsidRPr="00E144D6" w:rsidRDefault="00D33F16" w:rsidP="00E144D6">
            <w:pPr>
              <w:spacing w:line="240" w:lineRule="exact"/>
              <w:ind w:left="732" w:hanging="720"/>
              <w:rPr>
                <w:rFonts w:ascii="標楷體" w:eastAsia="標楷體" w:hAnsi="標楷體" w:hint="eastAsia"/>
                <w:sz w:val="20"/>
                <w:szCs w:val="20"/>
              </w:rPr>
            </w:pPr>
            <w:r w:rsidRPr="00E144D6">
              <w:rPr>
                <w:rFonts w:ascii="標楷體" w:eastAsia="標楷體" w:hAnsi="標楷體" w:hint="eastAsia"/>
                <w:sz w:val="20"/>
                <w:szCs w:val="20"/>
              </w:rPr>
              <w:t>十四、歧視婦女、原住民或弱勢團體人士，情節重大者。</w:t>
            </w:r>
          </w:p>
          <w:p w:rsidR="00D33F16" w:rsidRPr="00E144D6" w:rsidRDefault="00D33F16" w:rsidP="00E144D6">
            <w:pPr>
              <w:spacing w:line="240" w:lineRule="exact"/>
              <w:ind w:leftChars="38" w:left="91"/>
              <w:rPr>
                <w:rFonts w:ascii="標楷體" w:eastAsia="標楷體" w:hAnsi="標楷體" w:hint="eastAsia"/>
                <w:sz w:val="20"/>
                <w:szCs w:val="20"/>
              </w:rPr>
            </w:pPr>
            <w:r w:rsidRPr="00E144D6">
              <w:rPr>
                <w:rFonts w:ascii="標楷體" w:eastAsia="標楷體" w:hAnsi="標楷體" w:hint="eastAsia"/>
                <w:sz w:val="20"/>
                <w:szCs w:val="20"/>
              </w:rPr>
              <w:t>廠商之履約連帶保證廠商經機關通知履行連帶保證責任者，適用前項之規定。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經刊登政府採購公報者，於1年或3年內，不得參加投標或作為決標對象或分包廠商。</w:t>
            </w: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ind w:left="240" w:hanging="240"/>
              <w:rPr>
                <w:rFonts w:ascii="標楷體" w:eastAsia="標楷體" w:hAnsi="標楷體" w:hint="eastAsia"/>
                <w:sz w:val="20"/>
                <w:szCs w:val="20"/>
              </w:rPr>
            </w:pPr>
            <w:r w:rsidRPr="00E144D6">
              <w:rPr>
                <w:rFonts w:ascii="標楷體" w:eastAsia="標楷體" w:hAnsi="標楷體" w:hint="eastAsia"/>
                <w:sz w:val="20"/>
                <w:szCs w:val="20"/>
              </w:rPr>
              <w:t>技師法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9B2921" w:rsidRPr="00E144D6">
              <w:rPr>
                <w:rFonts w:ascii="標楷體" w:eastAsia="標楷體" w:hAnsi="標楷體" w:hint="eastAsia"/>
                <w:sz w:val="20"/>
                <w:szCs w:val="20"/>
              </w:rPr>
              <w:t>8</w:t>
            </w:r>
            <w:r w:rsidRPr="00E144D6">
              <w:rPr>
                <w:rFonts w:ascii="標楷體" w:eastAsia="標楷體" w:hAnsi="標楷體" w:hint="eastAsia"/>
                <w:sz w:val="20"/>
                <w:szCs w:val="20"/>
              </w:rPr>
              <w:t>條第1項、第24條、第</w:t>
            </w:r>
            <w:r w:rsidR="009B2921" w:rsidRPr="00E144D6">
              <w:rPr>
                <w:rFonts w:ascii="標楷體" w:eastAsia="標楷體" w:hAnsi="標楷體" w:hint="eastAsia"/>
                <w:sz w:val="20"/>
                <w:szCs w:val="20"/>
              </w:rPr>
              <w:t>5</w:t>
            </w:r>
            <w:r w:rsidR="00B76A31" w:rsidRPr="00E144D6">
              <w:rPr>
                <w:rFonts w:ascii="標楷體" w:eastAsia="標楷體" w:hAnsi="標楷體" w:hint="eastAsia"/>
                <w:sz w:val="20"/>
                <w:szCs w:val="20"/>
              </w:rPr>
              <w:t>2</w:t>
            </w:r>
            <w:r w:rsidRPr="00E144D6">
              <w:rPr>
                <w:rFonts w:ascii="標楷體" w:eastAsia="標楷體" w:hAnsi="標楷體" w:hint="eastAsia"/>
                <w:sz w:val="20"/>
                <w:szCs w:val="20"/>
              </w:rPr>
              <w:t>條</w:t>
            </w:r>
          </w:p>
        </w:tc>
        <w:tc>
          <w:tcPr>
            <w:tcW w:w="1745" w:type="pct"/>
          </w:tcPr>
          <w:p w:rsidR="00B76A31" w:rsidRPr="00E144D6" w:rsidRDefault="00B76A31"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領有技師證書而</w:t>
            </w:r>
            <w:r w:rsidR="00D33F16" w:rsidRPr="00E144D6">
              <w:rPr>
                <w:rFonts w:ascii="標楷體" w:eastAsia="標楷體" w:hAnsi="標楷體" w:hint="eastAsia"/>
                <w:sz w:val="20"/>
              </w:rPr>
              <w:t>未領技師執業執照</w:t>
            </w:r>
            <w:r w:rsidRPr="00E144D6">
              <w:rPr>
                <w:rFonts w:ascii="標楷體" w:eastAsia="標楷體" w:hAnsi="標楷體" w:hint="eastAsia"/>
                <w:sz w:val="20"/>
              </w:rPr>
              <w:t>、自行停止執業</w:t>
            </w:r>
            <w:r w:rsidR="00D33F16" w:rsidRPr="00E144D6">
              <w:rPr>
                <w:rFonts w:ascii="標楷體" w:eastAsia="標楷體" w:hAnsi="標楷體" w:hint="eastAsia"/>
                <w:sz w:val="20"/>
              </w:rPr>
              <w:t>或未加入技師公會，擅自執行技師業務</w:t>
            </w:r>
          </w:p>
        </w:tc>
        <w:tc>
          <w:tcPr>
            <w:tcW w:w="1904" w:type="pct"/>
          </w:tcPr>
          <w:p w:rsidR="00BF3BD0" w:rsidRPr="00E144D6" w:rsidRDefault="00C6642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中央</w:t>
            </w:r>
            <w:proofErr w:type="gramStart"/>
            <w:r w:rsidR="00D33F16" w:rsidRPr="00E144D6">
              <w:rPr>
                <w:rFonts w:ascii="標楷體" w:eastAsia="標楷體" w:hAnsi="標楷體" w:hint="eastAsia"/>
                <w:sz w:val="20"/>
                <w:szCs w:val="20"/>
              </w:rPr>
              <w:t>主管機關應</w:t>
            </w:r>
            <w:r w:rsidR="00BF3BD0" w:rsidRPr="00E144D6">
              <w:rPr>
                <w:rFonts w:ascii="標楷體" w:eastAsia="標楷體" w:hAnsi="標楷體" w:hint="eastAsia"/>
                <w:sz w:val="20"/>
                <w:szCs w:val="20"/>
              </w:rPr>
              <w:t>命其</w:t>
            </w:r>
            <w:proofErr w:type="gramEnd"/>
            <w:r w:rsidR="00BF3BD0" w:rsidRPr="00E144D6">
              <w:rPr>
                <w:rFonts w:ascii="標楷體" w:eastAsia="標楷體" w:hAnsi="標楷體" w:hint="eastAsia"/>
                <w:sz w:val="20"/>
                <w:szCs w:val="20"/>
              </w:rPr>
              <w:t>停止</w:t>
            </w:r>
            <w:r w:rsidR="00D33F16" w:rsidRPr="00E144D6">
              <w:rPr>
                <w:rFonts w:ascii="標楷體" w:eastAsia="標楷體" w:hAnsi="標楷體" w:hint="eastAsia"/>
                <w:sz w:val="20"/>
                <w:szCs w:val="20"/>
              </w:rPr>
              <w:t>，並處</w:t>
            </w:r>
            <w:r w:rsidRPr="00E144D6">
              <w:rPr>
                <w:rFonts w:ascii="標楷體" w:eastAsia="標楷體" w:hAnsi="標楷體" w:hint="eastAsia"/>
                <w:sz w:val="20"/>
                <w:szCs w:val="20"/>
              </w:rPr>
              <w:t>新臺幣3</w:t>
            </w:r>
            <w:r w:rsidR="00D33F16" w:rsidRPr="00E144D6">
              <w:rPr>
                <w:rFonts w:ascii="標楷體" w:eastAsia="標楷體" w:hAnsi="標楷體" w:hint="eastAsia"/>
                <w:sz w:val="20"/>
                <w:szCs w:val="20"/>
              </w:rPr>
              <w:t>萬元以上</w:t>
            </w:r>
            <w:r w:rsidRPr="00E144D6">
              <w:rPr>
                <w:rFonts w:ascii="標楷體" w:eastAsia="標楷體" w:hAnsi="標楷體" w:hint="eastAsia"/>
                <w:sz w:val="20"/>
                <w:szCs w:val="20"/>
              </w:rPr>
              <w:t>15</w:t>
            </w:r>
            <w:r w:rsidR="00D33F16" w:rsidRPr="00E144D6">
              <w:rPr>
                <w:rFonts w:ascii="標楷體" w:eastAsia="標楷體" w:hAnsi="標楷體" w:hint="eastAsia"/>
                <w:sz w:val="20"/>
                <w:szCs w:val="20"/>
              </w:rPr>
              <w:t>萬元以下之罰鍰</w:t>
            </w:r>
            <w:r w:rsidRPr="00E144D6">
              <w:rPr>
                <w:rFonts w:ascii="標楷體" w:eastAsia="標楷體" w:hAnsi="標楷體" w:hint="eastAsia"/>
                <w:sz w:val="20"/>
                <w:szCs w:val="20"/>
              </w:rPr>
              <w:t>；其不停止行為者，得按次處罰</w:t>
            </w:r>
            <w:r w:rsidR="00D33F16" w:rsidRPr="00E144D6">
              <w:rPr>
                <w:rFonts w:ascii="標楷體" w:eastAsia="標楷體" w:hAnsi="標楷體" w:hint="eastAsia"/>
                <w:sz w:val="20"/>
                <w:szCs w:val="20"/>
              </w:rPr>
              <w:t>。</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6004B0" w:rsidRPr="00E144D6">
              <w:rPr>
                <w:rFonts w:ascii="標楷體" w:eastAsia="標楷體" w:hAnsi="標楷體" w:hint="eastAsia"/>
                <w:sz w:val="20"/>
                <w:szCs w:val="20"/>
              </w:rPr>
              <w:t>8</w:t>
            </w:r>
            <w:r w:rsidRPr="00E144D6">
              <w:rPr>
                <w:rFonts w:ascii="標楷體" w:eastAsia="標楷體" w:hAnsi="標楷體" w:hint="eastAsia"/>
                <w:sz w:val="20"/>
                <w:szCs w:val="20"/>
              </w:rPr>
              <w:t>條第4項、第</w:t>
            </w:r>
            <w:r w:rsidR="006004B0" w:rsidRPr="00E144D6">
              <w:rPr>
                <w:rFonts w:ascii="標楷體" w:eastAsia="標楷體" w:hAnsi="標楷體" w:hint="eastAsia"/>
                <w:sz w:val="20"/>
                <w:szCs w:val="20"/>
              </w:rPr>
              <w:t>53</w:t>
            </w:r>
            <w:r w:rsidRPr="00E144D6">
              <w:rPr>
                <w:rFonts w:ascii="標楷體" w:eastAsia="標楷體" w:hAnsi="標楷體" w:hint="eastAsia"/>
                <w:sz w:val="20"/>
                <w:szCs w:val="20"/>
              </w:rPr>
              <w:t>條第</w:t>
            </w:r>
            <w:r w:rsidR="006004B0" w:rsidRPr="00E144D6">
              <w:rPr>
                <w:rFonts w:ascii="標楷體" w:eastAsia="標楷體" w:hAnsi="標楷體" w:hint="eastAsia"/>
                <w:sz w:val="20"/>
                <w:szCs w:val="20"/>
              </w:rPr>
              <w:t>1</w:t>
            </w:r>
            <w:r w:rsidRPr="00E144D6">
              <w:rPr>
                <w:rFonts w:ascii="標楷體" w:eastAsia="標楷體" w:hAnsi="標楷體" w:hint="eastAsia"/>
                <w:sz w:val="20"/>
                <w:szCs w:val="20"/>
              </w:rPr>
              <w:t>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執業執照已逾有效期間未申請換發，而繼續執行技師業務</w:t>
            </w:r>
          </w:p>
        </w:tc>
        <w:tc>
          <w:tcPr>
            <w:tcW w:w="1904" w:type="pct"/>
          </w:tcPr>
          <w:p w:rsidR="00F74D41"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w:t>
            </w:r>
            <w:r w:rsidR="006004B0" w:rsidRPr="00E144D6">
              <w:rPr>
                <w:rFonts w:ascii="標楷體" w:eastAsia="標楷體" w:hAnsi="標楷體" w:hint="eastAsia"/>
                <w:sz w:val="20"/>
              </w:rPr>
              <w:t>新臺幣1萬8</w:t>
            </w:r>
            <w:r w:rsidRPr="00E144D6">
              <w:rPr>
                <w:rFonts w:ascii="標楷體" w:eastAsia="標楷體" w:hAnsi="標楷體" w:hint="eastAsia"/>
                <w:sz w:val="20"/>
              </w:rPr>
              <w:t>千元以上</w:t>
            </w:r>
            <w:r w:rsidR="006004B0" w:rsidRPr="00E144D6">
              <w:rPr>
                <w:rFonts w:ascii="標楷體" w:eastAsia="標楷體" w:hAnsi="標楷體" w:hint="eastAsia"/>
                <w:sz w:val="20"/>
              </w:rPr>
              <w:t>9</w:t>
            </w:r>
            <w:r w:rsidRPr="00E144D6">
              <w:rPr>
                <w:rFonts w:ascii="標楷體" w:eastAsia="標楷體" w:hAnsi="標楷體" w:hint="eastAsia"/>
                <w:sz w:val="20"/>
              </w:rPr>
              <w:t>萬元以下罰鍰，中央主管機關</w:t>
            </w:r>
            <w:proofErr w:type="gramStart"/>
            <w:r w:rsidRPr="00E144D6">
              <w:rPr>
                <w:rFonts w:ascii="標楷體" w:eastAsia="標楷體" w:hAnsi="標楷體" w:hint="eastAsia"/>
                <w:sz w:val="20"/>
              </w:rPr>
              <w:t>並應命其</w:t>
            </w:r>
            <w:proofErr w:type="gramEnd"/>
            <w:r w:rsidR="00F74D41" w:rsidRPr="00E144D6">
              <w:rPr>
                <w:rFonts w:ascii="標楷體" w:eastAsia="標楷體" w:hAnsi="標楷體" w:hint="eastAsia"/>
                <w:sz w:val="20"/>
              </w:rPr>
              <w:t>限期</w:t>
            </w:r>
            <w:r w:rsidRPr="00E144D6">
              <w:rPr>
                <w:rFonts w:ascii="標楷體" w:eastAsia="標楷體" w:hAnsi="標楷體" w:hint="eastAsia"/>
                <w:sz w:val="20"/>
              </w:rPr>
              <w:t>補辦申請；屆期</w:t>
            </w:r>
            <w:r w:rsidR="00F74D41" w:rsidRPr="00E144D6">
              <w:rPr>
                <w:rFonts w:ascii="標楷體" w:eastAsia="標楷體" w:hAnsi="標楷體" w:hint="eastAsia"/>
                <w:sz w:val="20"/>
              </w:rPr>
              <w:t>未辦理</w:t>
            </w:r>
            <w:r w:rsidRPr="00E144D6">
              <w:rPr>
                <w:rFonts w:ascii="標楷體" w:eastAsia="標楷體" w:hAnsi="標楷體" w:hint="eastAsia"/>
                <w:sz w:val="20"/>
              </w:rPr>
              <w:t>而繼續執業者，得按次處罰。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175ACD" w:rsidRPr="00E144D6">
              <w:rPr>
                <w:rFonts w:ascii="標楷體" w:eastAsia="標楷體" w:hAnsi="標楷體" w:hint="eastAsia"/>
                <w:sz w:val="20"/>
                <w:szCs w:val="20"/>
              </w:rPr>
              <w:t>9</w:t>
            </w:r>
            <w:r w:rsidRPr="00E144D6">
              <w:rPr>
                <w:rFonts w:ascii="標楷體" w:eastAsia="標楷體" w:hAnsi="標楷體" w:hint="eastAsia"/>
                <w:sz w:val="20"/>
                <w:szCs w:val="20"/>
              </w:rPr>
              <w:t>條第2項、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1C0C3A" w:rsidRPr="00E144D6">
              <w:rPr>
                <w:rFonts w:ascii="標楷體" w:eastAsia="標楷體" w:hAnsi="標楷體" w:hint="eastAsia"/>
                <w:sz w:val="20"/>
                <w:szCs w:val="20"/>
              </w:rPr>
              <w:t>53</w:t>
            </w:r>
            <w:r w:rsidRPr="00E144D6">
              <w:rPr>
                <w:rFonts w:ascii="標楷體" w:eastAsia="標楷體" w:hAnsi="標楷體" w:hint="eastAsia"/>
                <w:sz w:val="20"/>
                <w:szCs w:val="20"/>
              </w:rPr>
              <w:t>條第</w:t>
            </w:r>
            <w:r w:rsidR="00A45215" w:rsidRPr="00E144D6">
              <w:rPr>
                <w:rFonts w:ascii="標楷體" w:eastAsia="標楷體" w:hAnsi="標楷體" w:hint="eastAsia"/>
                <w:sz w:val="20"/>
                <w:szCs w:val="20"/>
              </w:rPr>
              <w:t>2</w:t>
            </w:r>
            <w:r w:rsidRPr="00E144D6">
              <w:rPr>
                <w:rFonts w:ascii="標楷體" w:eastAsia="標楷體" w:hAnsi="標楷體" w:hint="eastAsia"/>
                <w:sz w:val="20"/>
                <w:szCs w:val="20"/>
              </w:rPr>
              <w:t>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未於期限內辦理執業執照登記事項變更</w:t>
            </w:r>
          </w:p>
          <w:p w:rsidR="00A3225C" w:rsidRPr="00E144D6" w:rsidRDefault="00A3225C" w:rsidP="00E144D6">
            <w:pPr>
              <w:pStyle w:val="210"/>
              <w:snapToGrid w:val="0"/>
              <w:spacing w:before="0" w:line="240" w:lineRule="exact"/>
              <w:ind w:left="0" w:firstLine="0"/>
              <w:rPr>
                <w:rFonts w:ascii="標楷體" w:eastAsia="標楷體" w:hAnsi="標楷體" w:hint="eastAsia"/>
                <w:sz w:val="20"/>
              </w:rPr>
            </w:pPr>
          </w:p>
        </w:tc>
        <w:tc>
          <w:tcPr>
            <w:tcW w:w="1904" w:type="pct"/>
          </w:tcPr>
          <w:p w:rsidR="00A3225C" w:rsidRPr="00E144D6" w:rsidRDefault="00A3225C"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中央</w:t>
            </w:r>
            <w:proofErr w:type="gramStart"/>
            <w:r w:rsidR="00D33F16" w:rsidRPr="00E144D6">
              <w:rPr>
                <w:rFonts w:ascii="標楷體" w:eastAsia="標楷體" w:hAnsi="標楷體" w:hint="eastAsia"/>
                <w:sz w:val="20"/>
              </w:rPr>
              <w:t>主管機關應命其</w:t>
            </w:r>
            <w:proofErr w:type="gramEnd"/>
            <w:r w:rsidRPr="00E144D6">
              <w:rPr>
                <w:rFonts w:ascii="標楷體" w:eastAsia="標楷體" w:hAnsi="標楷體" w:hint="eastAsia"/>
                <w:sz w:val="20"/>
              </w:rPr>
              <w:t>限期</w:t>
            </w:r>
            <w:r w:rsidR="00D33F16" w:rsidRPr="00E144D6">
              <w:rPr>
                <w:rFonts w:ascii="標楷體" w:eastAsia="標楷體" w:hAnsi="標楷體" w:hint="eastAsia"/>
                <w:sz w:val="20"/>
              </w:rPr>
              <w:t>改善，屆期</w:t>
            </w:r>
            <w:r w:rsidR="002534D4" w:rsidRPr="00E144D6">
              <w:rPr>
                <w:rFonts w:ascii="標楷體" w:eastAsia="標楷體" w:hAnsi="標楷體" w:hint="eastAsia"/>
                <w:sz w:val="20"/>
              </w:rPr>
              <w:t>未</w:t>
            </w:r>
            <w:r w:rsidR="00D33F16" w:rsidRPr="00E144D6">
              <w:rPr>
                <w:rFonts w:ascii="標楷體" w:eastAsia="標楷體" w:hAnsi="標楷體" w:hint="eastAsia"/>
                <w:sz w:val="20"/>
              </w:rPr>
              <w:t>改善或再次違反者，處</w:t>
            </w:r>
            <w:r w:rsidR="002534D4" w:rsidRPr="00E144D6">
              <w:rPr>
                <w:rFonts w:ascii="標楷體" w:eastAsia="標楷體" w:hAnsi="標楷體" w:hint="eastAsia"/>
                <w:sz w:val="20"/>
              </w:rPr>
              <w:t>6</w:t>
            </w:r>
            <w:r w:rsidR="00D33F16" w:rsidRPr="00E144D6">
              <w:rPr>
                <w:rFonts w:ascii="標楷體" w:eastAsia="標楷體" w:hAnsi="標楷體" w:hint="eastAsia"/>
                <w:sz w:val="20"/>
              </w:rPr>
              <w:t>千元以上</w:t>
            </w:r>
            <w:r w:rsidR="002534D4" w:rsidRPr="00E144D6">
              <w:rPr>
                <w:rFonts w:ascii="標楷體" w:eastAsia="標楷體" w:hAnsi="標楷體" w:hint="eastAsia"/>
                <w:sz w:val="20"/>
              </w:rPr>
              <w:t>3</w:t>
            </w:r>
            <w:r w:rsidR="00D33F16" w:rsidRPr="00E144D6">
              <w:rPr>
                <w:rFonts w:ascii="標楷體" w:eastAsia="標楷體" w:hAnsi="標楷體" w:hint="eastAsia"/>
                <w:sz w:val="20"/>
              </w:rPr>
              <w:t>萬元以下罰鍰；經處罰鍰後仍</w:t>
            </w:r>
            <w:r w:rsidR="002534D4" w:rsidRPr="00E144D6">
              <w:rPr>
                <w:rFonts w:ascii="標楷體" w:eastAsia="標楷體" w:hAnsi="標楷體" w:hint="eastAsia"/>
                <w:sz w:val="20"/>
              </w:rPr>
              <w:t>未</w:t>
            </w:r>
            <w:r w:rsidR="00D33F16" w:rsidRPr="00E144D6">
              <w:rPr>
                <w:rFonts w:ascii="標楷體" w:eastAsia="標楷體" w:hAnsi="標楷體" w:hint="eastAsia"/>
                <w:sz w:val="20"/>
              </w:rPr>
              <w:t>改善者，得按次處罰。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7A1F7C" w:rsidRPr="00E144D6">
              <w:rPr>
                <w:rFonts w:ascii="標楷體" w:eastAsia="標楷體" w:hAnsi="標楷體" w:hint="eastAsia"/>
                <w:sz w:val="20"/>
                <w:szCs w:val="20"/>
              </w:rPr>
              <w:t>12</w:t>
            </w:r>
            <w:r w:rsidRPr="00E144D6">
              <w:rPr>
                <w:rFonts w:ascii="標楷體" w:eastAsia="標楷體" w:hAnsi="標楷體" w:hint="eastAsia"/>
                <w:sz w:val="20"/>
                <w:szCs w:val="20"/>
              </w:rPr>
              <w:t>條、</w:t>
            </w:r>
          </w:p>
          <w:p w:rsidR="00D33F16" w:rsidRPr="00E144D6" w:rsidRDefault="005E3BA9"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第53條第2項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自行停止執業技師，未檢具執業執照向中央主管機關申請註銷執業執照</w:t>
            </w:r>
          </w:p>
        </w:tc>
        <w:tc>
          <w:tcPr>
            <w:tcW w:w="1904" w:type="pct"/>
          </w:tcPr>
          <w:p w:rsidR="00D33F16" w:rsidRPr="00E144D6" w:rsidRDefault="0079275E"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中央</w:t>
            </w:r>
            <w:proofErr w:type="gramStart"/>
            <w:r w:rsidRPr="00E144D6">
              <w:rPr>
                <w:rFonts w:ascii="標楷體" w:eastAsia="標楷體" w:hAnsi="標楷體" w:hint="eastAsia"/>
                <w:sz w:val="20"/>
              </w:rPr>
              <w:t>主管機關應命其</w:t>
            </w:r>
            <w:proofErr w:type="gramEnd"/>
            <w:r w:rsidRPr="00E144D6">
              <w:rPr>
                <w:rFonts w:ascii="標楷體" w:eastAsia="標楷體" w:hAnsi="標楷體" w:hint="eastAsia"/>
                <w:sz w:val="20"/>
              </w:rPr>
              <w:t>限期改善，屆期未改善或再次違反者，處6千元以上3萬元以下罰鍰；經處罰鍰後仍未改善者，得按次處罰。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3A1A55" w:rsidRPr="00E144D6">
              <w:rPr>
                <w:rFonts w:ascii="標楷體" w:eastAsia="標楷體" w:hAnsi="標楷體" w:hint="eastAsia"/>
                <w:sz w:val="20"/>
                <w:szCs w:val="20"/>
              </w:rPr>
              <w:t>14</w:t>
            </w:r>
            <w:r w:rsidRPr="00E144D6">
              <w:rPr>
                <w:rFonts w:ascii="標楷體" w:eastAsia="標楷體" w:hAnsi="標楷體" w:hint="eastAsia"/>
                <w:sz w:val="20"/>
                <w:szCs w:val="20"/>
              </w:rPr>
              <w:t>條第1項、</w:t>
            </w:r>
            <w:r w:rsidR="008E681B" w:rsidRPr="00E144D6">
              <w:rPr>
                <w:rFonts w:ascii="標楷體" w:eastAsia="標楷體" w:hAnsi="標楷體" w:hint="eastAsia"/>
                <w:sz w:val="20"/>
                <w:szCs w:val="20"/>
              </w:rPr>
              <w:t>第53條第2項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無正當理由拒絕</w:t>
            </w:r>
            <w:r w:rsidR="001B649E" w:rsidRPr="00E144D6">
              <w:rPr>
                <w:rFonts w:ascii="標楷體" w:eastAsia="標楷體" w:hAnsi="標楷體" w:hint="eastAsia"/>
                <w:sz w:val="20"/>
              </w:rPr>
              <w:t>政府</w:t>
            </w:r>
            <w:r w:rsidRPr="00E144D6">
              <w:rPr>
                <w:rFonts w:ascii="標楷體" w:eastAsia="標楷體" w:hAnsi="標楷體" w:hint="eastAsia"/>
                <w:sz w:val="20"/>
              </w:rPr>
              <w:t>機關</w:t>
            </w:r>
            <w:r w:rsidR="001B649E" w:rsidRPr="00E144D6">
              <w:rPr>
                <w:rFonts w:ascii="標楷體" w:eastAsia="標楷體" w:hAnsi="標楷體" w:hint="eastAsia"/>
                <w:sz w:val="20"/>
              </w:rPr>
              <w:t>指定辦理公共安全、預防災害或搶救災害有關之技術事項</w:t>
            </w:r>
          </w:p>
        </w:tc>
        <w:tc>
          <w:tcPr>
            <w:tcW w:w="1904" w:type="pct"/>
          </w:tcPr>
          <w:p w:rsidR="00D33F16" w:rsidRPr="00E144D6" w:rsidRDefault="00750EE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中央</w:t>
            </w:r>
            <w:proofErr w:type="gramStart"/>
            <w:r w:rsidRPr="00E144D6">
              <w:rPr>
                <w:rFonts w:ascii="標楷體" w:eastAsia="標楷體" w:hAnsi="標楷體" w:hint="eastAsia"/>
                <w:sz w:val="20"/>
              </w:rPr>
              <w:t>主管機關應命其</w:t>
            </w:r>
            <w:proofErr w:type="gramEnd"/>
            <w:r w:rsidRPr="00E144D6">
              <w:rPr>
                <w:rFonts w:ascii="標楷體" w:eastAsia="標楷體" w:hAnsi="標楷體" w:hint="eastAsia"/>
                <w:sz w:val="20"/>
              </w:rPr>
              <w:t>限期改善，屆期未改善或再次違反者，處6千元以上3萬元以下罰鍰；經處罰鍰後仍未改善者，得按次處罰。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第15條、</w:t>
            </w:r>
          </w:p>
          <w:p w:rsidR="00D33F16" w:rsidRPr="00E144D6" w:rsidRDefault="008E681B"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第53條第2項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未具備及詳實記載業務登記簿</w:t>
            </w:r>
          </w:p>
        </w:tc>
        <w:tc>
          <w:tcPr>
            <w:tcW w:w="1904" w:type="pct"/>
          </w:tcPr>
          <w:p w:rsidR="00D33F16" w:rsidRPr="00E144D6" w:rsidRDefault="00750EE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中央</w:t>
            </w:r>
            <w:proofErr w:type="gramStart"/>
            <w:r w:rsidRPr="00E144D6">
              <w:rPr>
                <w:rFonts w:ascii="標楷體" w:eastAsia="標楷體" w:hAnsi="標楷體" w:hint="eastAsia"/>
                <w:sz w:val="20"/>
              </w:rPr>
              <w:t>主管機關應命其</w:t>
            </w:r>
            <w:proofErr w:type="gramEnd"/>
            <w:r w:rsidRPr="00E144D6">
              <w:rPr>
                <w:rFonts w:ascii="標楷體" w:eastAsia="標楷體" w:hAnsi="標楷體" w:hint="eastAsia"/>
                <w:sz w:val="20"/>
              </w:rPr>
              <w:t>限期改善，屆期未改善或再次違反者，處6千元以上3萬元以下罰鍰；經處罰鍰後仍未改善者，得按次處罰。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第16條</w:t>
            </w:r>
            <w:r w:rsidR="00CD3754" w:rsidRPr="00E144D6">
              <w:rPr>
                <w:rFonts w:ascii="標楷體" w:eastAsia="標楷體" w:hAnsi="標楷體" w:hint="eastAsia"/>
                <w:sz w:val="20"/>
                <w:szCs w:val="20"/>
              </w:rPr>
              <w:t>第1項</w:t>
            </w:r>
            <w:r w:rsidRPr="00E144D6">
              <w:rPr>
                <w:rFonts w:ascii="標楷體" w:eastAsia="標楷體" w:hAnsi="標楷體" w:hint="eastAsia"/>
                <w:sz w:val="20"/>
                <w:szCs w:val="20"/>
              </w:rPr>
              <w:t>、第41條第1項第1款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未親自簽署業務圖表及加蓋技師執業圖記</w:t>
            </w:r>
          </w:p>
        </w:tc>
        <w:tc>
          <w:tcPr>
            <w:tcW w:w="1904" w:type="pct"/>
          </w:tcPr>
          <w:p w:rsidR="00D33F16" w:rsidRPr="00E144D6" w:rsidRDefault="005C4133"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警告或</w:t>
            </w:r>
            <w:r w:rsidR="00D33F16" w:rsidRPr="00E144D6">
              <w:rPr>
                <w:rFonts w:ascii="標楷體" w:eastAsia="標楷體" w:hAnsi="標楷體" w:hint="eastAsia"/>
                <w:sz w:val="20"/>
              </w:rPr>
              <w:t>申誡。</w:t>
            </w:r>
          </w:p>
        </w:tc>
      </w:tr>
      <w:tr w:rsidR="0080094A" w:rsidRPr="00E144D6">
        <w:tblPrEx>
          <w:tblCellMar>
            <w:top w:w="0" w:type="dxa"/>
            <w:bottom w:w="0" w:type="dxa"/>
          </w:tblCellMar>
        </w:tblPrEx>
        <w:trPr>
          <w:cantSplit/>
          <w:tblHeader/>
        </w:trPr>
        <w:tc>
          <w:tcPr>
            <w:tcW w:w="594" w:type="pct"/>
            <w:vMerge/>
          </w:tcPr>
          <w:p w:rsidR="0080094A" w:rsidRPr="00E144D6" w:rsidRDefault="0080094A" w:rsidP="00E144D6">
            <w:pPr>
              <w:spacing w:line="240" w:lineRule="exact"/>
              <w:ind w:left="240" w:hanging="240"/>
              <w:rPr>
                <w:rFonts w:ascii="標楷體" w:eastAsia="標楷體" w:hAnsi="標楷體" w:hint="eastAsia"/>
                <w:sz w:val="20"/>
                <w:szCs w:val="20"/>
              </w:rPr>
            </w:pPr>
          </w:p>
        </w:tc>
        <w:tc>
          <w:tcPr>
            <w:tcW w:w="757" w:type="pct"/>
          </w:tcPr>
          <w:p w:rsidR="0080094A" w:rsidRPr="00E144D6" w:rsidRDefault="0080094A"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第16條第2項</w:t>
            </w:r>
            <w:r w:rsidR="00E56F53" w:rsidRPr="00E144D6">
              <w:rPr>
                <w:rFonts w:ascii="標楷體" w:eastAsia="標楷體" w:hAnsi="標楷體" w:hint="eastAsia"/>
                <w:sz w:val="20"/>
                <w:szCs w:val="20"/>
              </w:rPr>
              <w:t>至第3項</w:t>
            </w:r>
            <w:r w:rsidRPr="00E144D6">
              <w:rPr>
                <w:rFonts w:ascii="標楷體" w:eastAsia="標楷體" w:hAnsi="標楷體" w:hint="eastAsia"/>
                <w:sz w:val="20"/>
                <w:szCs w:val="20"/>
              </w:rPr>
              <w:t>、第41條第1項第3款</w:t>
            </w:r>
          </w:p>
        </w:tc>
        <w:tc>
          <w:tcPr>
            <w:tcW w:w="1745" w:type="pct"/>
          </w:tcPr>
          <w:p w:rsidR="006761AF" w:rsidRPr="00E144D6" w:rsidRDefault="006761AF"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非技師本人或其監督下完成之工作為簽證；涉及現場作業者，技師未親自赴現場實地查核。</w:t>
            </w:r>
          </w:p>
          <w:p w:rsidR="0080094A" w:rsidRPr="00E144D6" w:rsidRDefault="006761AF"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技師執行簽證，未提出簽證報告，或未將簽證經過確實作成紀錄，連同所有相關資料、文</w:t>
            </w:r>
            <w:proofErr w:type="gramStart"/>
            <w:r w:rsidRPr="00E144D6">
              <w:rPr>
                <w:rFonts w:ascii="標楷體" w:eastAsia="標楷體" w:hAnsi="標楷體" w:hint="eastAsia"/>
                <w:sz w:val="20"/>
                <w:szCs w:val="20"/>
              </w:rPr>
              <w:t>據彙訂</w:t>
            </w:r>
            <w:proofErr w:type="gramEnd"/>
            <w:r w:rsidRPr="00E144D6">
              <w:rPr>
                <w:rFonts w:ascii="標楷體" w:eastAsia="標楷體" w:hAnsi="標楷體" w:hint="eastAsia"/>
                <w:sz w:val="20"/>
                <w:szCs w:val="20"/>
              </w:rPr>
              <w:t>為工作底稿。</w:t>
            </w:r>
          </w:p>
        </w:tc>
        <w:tc>
          <w:tcPr>
            <w:tcW w:w="1904" w:type="pct"/>
          </w:tcPr>
          <w:p w:rsidR="0080094A" w:rsidRPr="00E144D6" w:rsidRDefault="00492C1A"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申誡、</w:t>
            </w:r>
            <w:r w:rsidR="00E47C1A" w:rsidRPr="00E144D6">
              <w:rPr>
                <w:rFonts w:ascii="標楷體" w:eastAsia="標楷體" w:hAnsi="標楷體" w:hint="eastAsia"/>
                <w:sz w:val="20"/>
              </w:rPr>
              <w:t>2個月以上2年以下停止業務</w:t>
            </w:r>
            <w:r w:rsidRPr="00E144D6">
              <w:rPr>
                <w:rFonts w:ascii="標楷體" w:eastAsia="標楷體" w:hAnsi="標楷體" w:hint="eastAsia"/>
                <w:sz w:val="20"/>
              </w:rPr>
              <w:t>或廢止執業執照</w:t>
            </w:r>
            <w:r w:rsidR="001D1A64" w:rsidRPr="00E144D6">
              <w:rPr>
                <w:rFonts w:ascii="標楷體" w:eastAsia="標楷體" w:hAnsi="標楷體" w:hint="eastAsia"/>
                <w:sz w:val="20"/>
              </w:rPr>
              <w:t>。</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第41條第1項第2款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委託人</w:t>
            </w:r>
            <w:r w:rsidR="00B42941" w:rsidRPr="00E144D6">
              <w:rPr>
                <w:rFonts w:ascii="標楷體" w:eastAsia="標楷體" w:hAnsi="標楷體" w:hint="eastAsia"/>
                <w:kern w:val="2"/>
                <w:sz w:val="20"/>
              </w:rPr>
              <w:t>或其執業機構</w:t>
            </w:r>
            <w:r w:rsidRPr="00E144D6">
              <w:rPr>
                <w:rFonts w:ascii="標楷體" w:eastAsia="標楷體" w:hAnsi="標楷體" w:hint="eastAsia"/>
                <w:sz w:val="20"/>
              </w:rPr>
              <w:t>擅自變更原定計畫及在計畫進行時或完成後不接受警告，致有發生危險之虞時，受委託技師未據實報告所在地主管機關</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申誡或2個月以上2年以下停止業務之懲戒。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921581" w:rsidRPr="00E144D6">
              <w:rPr>
                <w:rFonts w:ascii="標楷體" w:eastAsia="標楷體" w:hAnsi="標楷體" w:hint="eastAsia"/>
                <w:sz w:val="20"/>
                <w:szCs w:val="20"/>
              </w:rPr>
              <w:t>41</w:t>
            </w:r>
            <w:r w:rsidRPr="00E144D6">
              <w:rPr>
                <w:rFonts w:ascii="標楷體" w:eastAsia="標楷體" w:hAnsi="標楷體" w:hint="eastAsia"/>
                <w:sz w:val="20"/>
                <w:szCs w:val="20"/>
              </w:rPr>
              <w:t>條第1項</w:t>
            </w:r>
            <w:r w:rsidR="00921581" w:rsidRPr="00E144D6">
              <w:rPr>
                <w:rFonts w:ascii="標楷體" w:eastAsia="標楷體" w:hAnsi="標楷體" w:hint="eastAsia"/>
                <w:sz w:val="20"/>
                <w:szCs w:val="20"/>
              </w:rPr>
              <w:t>第3款</w:t>
            </w:r>
          </w:p>
        </w:tc>
        <w:tc>
          <w:tcPr>
            <w:tcW w:w="1745" w:type="pct"/>
          </w:tcPr>
          <w:p w:rsidR="00D33F16" w:rsidRPr="00E144D6" w:rsidRDefault="00D33F16" w:rsidP="00E144D6">
            <w:pPr>
              <w:pStyle w:val="210"/>
              <w:snapToGrid w:val="0"/>
              <w:spacing w:before="0" w:line="240" w:lineRule="exact"/>
              <w:ind w:left="400" w:hangingChars="200" w:hanging="400"/>
              <w:rPr>
                <w:rFonts w:ascii="標楷體" w:eastAsia="標楷體" w:hAnsi="標楷體" w:hint="eastAsia"/>
                <w:sz w:val="20"/>
              </w:rPr>
            </w:pPr>
            <w:r w:rsidRPr="00E144D6">
              <w:rPr>
                <w:rFonts w:ascii="標楷體" w:eastAsia="標楷體" w:hAnsi="標楷體" w:hint="eastAsia"/>
                <w:sz w:val="20"/>
              </w:rPr>
              <w:t>兼任公務員</w:t>
            </w:r>
          </w:p>
        </w:tc>
        <w:tc>
          <w:tcPr>
            <w:tcW w:w="1904" w:type="pct"/>
          </w:tcPr>
          <w:p w:rsidR="00D33F16" w:rsidRPr="00E144D6" w:rsidRDefault="001D1A64"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申誡、2個月以上2年以下停止業務或廢止執業執照</w:t>
            </w:r>
            <w:r w:rsidR="00D33F16" w:rsidRPr="00E144D6">
              <w:rPr>
                <w:rFonts w:ascii="標楷體" w:eastAsia="標楷體" w:hAnsi="標楷體" w:hint="eastAsia"/>
                <w:sz w:val="20"/>
              </w:rPr>
              <w:t>。</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第19條第1項第1款、</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w:t>
            </w:r>
            <w:r w:rsidR="001B0B98" w:rsidRPr="00E144D6">
              <w:rPr>
                <w:rFonts w:ascii="標楷體" w:eastAsia="標楷體" w:hAnsi="標楷體" w:hint="eastAsia"/>
                <w:sz w:val="20"/>
                <w:szCs w:val="20"/>
              </w:rPr>
              <w:t>41</w:t>
            </w:r>
            <w:r w:rsidRPr="00E144D6">
              <w:rPr>
                <w:rFonts w:ascii="標楷體" w:eastAsia="標楷體" w:hAnsi="標楷體" w:hint="eastAsia"/>
                <w:sz w:val="20"/>
                <w:szCs w:val="20"/>
              </w:rPr>
              <w:t>條第</w:t>
            </w:r>
            <w:r w:rsidR="001B0B98" w:rsidRPr="00E144D6">
              <w:rPr>
                <w:rFonts w:ascii="標楷體" w:eastAsia="標楷體" w:hAnsi="標楷體" w:hint="eastAsia"/>
                <w:sz w:val="20"/>
                <w:szCs w:val="20"/>
              </w:rPr>
              <w:t>1</w:t>
            </w:r>
            <w:r w:rsidRPr="00E144D6">
              <w:rPr>
                <w:rFonts w:ascii="標楷體" w:eastAsia="標楷體" w:hAnsi="標楷體" w:hint="eastAsia"/>
                <w:sz w:val="20"/>
                <w:szCs w:val="20"/>
              </w:rPr>
              <w:t>項</w:t>
            </w:r>
            <w:r w:rsidR="001B0B98" w:rsidRPr="00E144D6">
              <w:rPr>
                <w:rFonts w:ascii="標楷體" w:eastAsia="標楷體" w:hAnsi="標楷體" w:hint="eastAsia"/>
                <w:sz w:val="20"/>
                <w:szCs w:val="20"/>
              </w:rPr>
              <w:t>第5款</w:t>
            </w:r>
          </w:p>
        </w:tc>
        <w:tc>
          <w:tcPr>
            <w:tcW w:w="1745" w:type="pct"/>
          </w:tcPr>
          <w:p w:rsidR="00D33F16" w:rsidRPr="00E144D6" w:rsidRDefault="001B0B98"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容許</w:t>
            </w:r>
            <w:r w:rsidR="00D33F16" w:rsidRPr="00E144D6">
              <w:rPr>
                <w:rFonts w:ascii="標楷體" w:eastAsia="標楷體" w:hAnsi="標楷體" w:hint="eastAsia"/>
                <w:sz w:val="20"/>
              </w:rPr>
              <w:t>他人</w:t>
            </w:r>
            <w:r w:rsidRPr="00E144D6">
              <w:rPr>
                <w:rFonts w:ascii="標楷體" w:eastAsia="標楷體" w:hAnsi="標楷體" w:hint="eastAsia"/>
                <w:sz w:val="20"/>
              </w:rPr>
              <w:t>借</w:t>
            </w:r>
            <w:r w:rsidR="00D33F16" w:rsidRPr="00E144D6">
              <w:rPr>
                <w:rFonts w:ascii="標楷體" w:eastAsia="標楷體" w:hAnsi="標楷體" w:hint="eastAsia"/>
                <w:sz w:val="20"/>
              </w:rPr>
              <w:t>用本人名義執行業務</w:t>
            </w:r>
            <w:r w:rsidRPr="00E144D6">
              <w:rPr>
                <w:rFonts w:ascii="標楷體" w:eastAsia="標楷體" w:hAnsi="標楷體" w:hint="eastAsia"/>
                <w:sz w:val="20"/>
              </w:rPr>
              <w:t>或招攬業務</w:t>
            </w:r>
          </w:p>
          <w:p w:rsidR="001B0B98" w:rsidRPr="00E144D6" w:rsidRDefault="001B0B98" w:rsidP="00E144D6">
            <w:pPr>
              <w:pStyle w:val="210"/>
              <w:snapToGrid w:val="0"/>
              <w:spacing w:before="0" w:line="240" w:lineRule="exact"/>
              <w:ind w:left="0" w:firstLine="0"/>
              <w:rPr>
                <w:rFonts w:ascii="標楷體" w:eastAsia="標楷體" w:hAnsi="標楷體" w:hint="eastAsia"/>
                <w:sz w:val="20"/>
              </w:rPr>
            </w:pPr>
          </w:p>
        </w:tc>
        <w:tc>
          <w:tcPr>
            <w:tcW w:w="1904" w:type="pct"/>
          </w:tcPr>
          <w:p w:rsidR="00D33F16" w:rsidRPr="00E144D6" w:rsidRDefault="00460E7E"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2個月以上2年以下停止業務、</w:t>
            </w:r>
            <w:r w:rsidR="00D33F16" w:rsidRPr="00E144D6">
              <w:rPr>
                <w:rFonts w:ascii="標楷體" w:eastAsia="標楷體" w:hAnsi="標楷體" w:hint="eastAsia"/>
                <w:sz w:val="20"/>
              </w:rPr>
              <w:t>廢止執業執照</w:t>
            </w:r>
            <w:r w:rsidRPr="00E144D6">
              <w:rPr>
                <w:rFonts w:ascii="標楷體" w:eastAsia="標楷體" w:hAnsi="標楷體" w:hint="eastAsia"/>
                <w:sz w:val="20"/>
              </w:rPr>
              <w:t>或廢止</w:t>
            </w:r>
            <w:r w:rsidR="00D33F16" w:rsidRPr="00E144D6">
              <w:rPr>
                <w:rFonts w:ascii="標楷體" w:eastAsia="標楷體" w:hAnsi="標楷體" w:hint="eastAsia"/>
                <w:sz w:val="20"/>
              </w:rPr>
              <w:t>技師證書。</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第19條第1項第2款至第</w:t>
            </w:r>
            <w:r w:rsidR="002154D0" w:rsidRPr="00E144D6">
              <w:rPr>
                <w:rFonts w:ascii="標楷體" w:eastAsia="標楷體" w:hAnsi="標楷體" w:hint="eastAsia"/>
                <w:sz w:val="20"/>
                <w:szCs w:val="20"/>
              </w:rPr>
              <w:t>6</w:t>
            </w:r>
            <w:r w:rsidRPr="00E144D6">
              <w:rPr>
                <w:rFonts w:ascii="標楷體" w:eastAsia="標楷體" w:hAnsi="標楷體" w:hint="eastAsia"/>
                <w:sz w:val="20"/>
                <w:szCs w:val="20"/>
              </w:rPr>
              <w:t>款、</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第41條第1項第3款</w:t>
            </w:r>
          </w:p>
        </w:tc>
        <w:tc>
          <w:tcPr>
            <w:tcW w:w="1745" w:type="pct"/>
          </w:tcPr>
          <w:p w:rsidR="001B7F56" w:rsidRPr="00E144D6" w:rsidRDefault="001B7F5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違反或廢弛其業務應盡之義務</w:t>
            </w:r>
          </w:p>
          <w:p w:rsidR="00D33F16" w:rsidRPr="00E144D6" w:rsidRDefault="00D33F1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執行業務時</w:t>
            </w:r>
            <w:r w:rsidR="001B7F56" w:rsidRPr="00E144D6">
              <w:rPr>
                <w:rFonts w:ascii="標楷體" w:eastAsia="標楷體" w:hAnsi="標楷體" w:hint="eastAsia"/>
                <w:sz w:val="20"/>
              </w:rPr>
              <w:t>，</w:t>
            </w:r>
            <w:r w:rsidRPr="00E144D6">
              <w:rPr>
                <w:rFonts w:ascii="標楷體" w:eastAsia="標楷體" w:hAnsi="標楷體" w:hint="eastAsia"/>
                <w:sz w:val="20"/>
              </w:rPr>
              <w:t>違反與業務有關之法令。</w:t>
            </w:r>
          </w:p>
          <w:p w:rsidR="001B7F56" w:rsidRPr="00E144D6" w:rsidRDefault="001B7F5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辦理</w:t>
            </w:r>
            <w:r w:rsidR="00D33F16" w:rsidRPr="00E144D6">
              <w:rPr>
                <w:rFonts w:ascii="標楷體" w:eastAsia="標楷體" w:hAnsi="標楷體" w:hint="eastAsia"/>
                <w:sz w:val="20"/>
              </w:rPr>
              <w:t>鑑定，</w:t>
            </w:r>
            <w:r w:rsidRPr="00E144D6">
              <w:rPr>
                <w:rFonts w:ascii="標楷體" w:eastAsia="標楷體" w:hAnsi="標楷體" w:hint="eastAsia"/>
                <w:sz w:val="20"/>
              </w:rPr>
              <w:t>提供違反專業或不實</w:t>
            </w:r>
            <w:r w:rsidR="00D33F16" w:rsidRPr="00E144D6">
              <w:rPr>
                <w:rFonts w:ascii="標楷體" w:eastAsia="標楷體" w:hAnsi="標楷體" w:hint="eastAsia"/>
                <w:sz w:val="20"/>
              </w:rPr>
              <w:t>之報告</w:t>
            </w:r>
            <w:r w:rsidRPr="00E144D6">
              <w:rPr>
                <w:rFonts w:ascii="標楷體" w:eastAsia="標楷體" w:hAnsi="標楷體" w:hint="eastAsia"/>
                <w:sz w:val="20"/>
              </w:rPr>
              <w:t>或證詞</w:t>
            </w:r>
            <w:r w:rsidR="00D33F16" w:rsidRPr="00E144D6">
              <w:rPr>
                <w:rFonts w:ascii="標楷體" w:eastAsia="標楷體" w:hAnsi="標楷體" w:hint="eastAsia"/>
                <w:sz w:val="20"/>
              </w:rPr>
              <w:t>。</w:t>
            </w:r>
          </w:p>
          <w:p w:rsidR="00D33F16" w:rsidRPr="00E144D6" w:rsidRDefault="00D33F1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無正當理由</w:t>
            </w:r>
            <w:r w:rsidR="00634C53" w:rsidRPr="00E144D6">
              <w:rPr>
                <w:rFonts w:ascii="標楷體" w:eastAsia="標楷體" w:hAnsi="標楷體" w:hint="eastAsia"/>
                <w:sz w:val="20"/>
              </w:rPr>
              <w:t>，</w:t>
            </w:r>
            <w:r w:rsidRPr="00E144D6">
              <w:rPr>
                <w:rFonts w:ascii="標楷體" w:eastAsia="標楷體" w:hAnsi="標楷體" w:hint="eastAsia"/>
                <w:sz w:val="20"/>
              </w:rPr>
              <w:t>洩漏因業務所知悉或持有他人之秘密。</w:t>
            </w:r>
          </w:p>
          <w:p w:rsidR="00D33F16" w:rsidRPr="00E144D6" w:rsidRDefault="00CF312B"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執行業務時，收受不法之利益，或</w:t>
            </w:r>
            <w:r w:rsidR="00D33F16" w:rsidRPr="00E144D6">
              <w:rPr>
                <w:rFonts w:ascii="標楷體" w:eastAsia="標楷體" w:hAnsi="標楷體" w:hint="eastAsia"/>
                <w:sz w:val="20"/>
              </w:rPr>
              <w:t>以不正當方法招攬業務。</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申誡、2個月以上2年以下停止業務或廢止執業執照之懲戒。</w:t>
            </w:r>
          </w:p>
          <w:p w:rsidR="008E5474" w:rsidRPr="00E144D6" w:rsidRDefault="008E5474" w:rsidP="00E144D6">
            <w:pPr>
              <w:pStyle w:val="27"/>
              <w:spacing w:line="240" w:lineRule="exact"/>
              <w:ind w:left="0" w:firstLine="0"/>
              <w:rPr>
                <w:rFonts w:ascii="標楷體" w:eastAsia="標楷體" w:hAnsi="標楷體" w:hint="eastAsia"/>
                <w:sz w:val="20"/>
              </w:rPr>
            </w:pP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第41條第1項第2款</w:t>
            </w:r>
          </w:p>
        </w:tc>
        <w:tc>
          <w:tcPr>
            <w:tcW w:w="1745" w:type="pct"/>
          </w:tcPr>
          <w:p w:rsidR="00D33F16" w:rsidRPr="00E144D6" w:rsidRDefault="006D772F"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除其他法律另有規定外，</w:t>
            </w:r>
            <w:r w:rsidR="00D33F16" w:rsidRPr="00E144D6">
              <w:rPr>
                <w:rFonts w:ascii="標楷體" w:eastAsia="標楷體" w:hAnsi="標楷體" w:hint="eastAsia"/>
                <w:sz w:val="20"/>
              </w:rPr>
              <w:t>承辦逾越</w:t>
            </w:r>
            <w:r w:rsidRPr="00E144D6">
              <w:rPr>
                <w:rFonts w:ascii="標楷體" w:eastAsia="標楷體" w:hAnsi="標楷體" w:hint="eastAsia"/>
                <w:sz w:val="20"/>
              </w:rPr>
              <w:t>執業</w:t>
            </w:r>
            <w:r w:rsidR="00D33F16" w:rsidRPr="00E144D6">
              <w:rPr>
                <w:rFonts w:ascii="標楷體" w:eastAsia="標楷體" w:hAnsi="標楷體" w:hint="eastAsia"/>
                <w:sz w:val="20"/>
              </w:rPr>
              <w:t>執照</w:t>
            </w:r>
            <w:r w:rsidRPr="00E144D6">
              <w:rPr>
                <w:rFonts w:ascii="標楷體" w:eastAsia="標楷體" w:hAnsi="標楷體" w:hint="eastAsia"/>
                <w:sz w:val="20"/>
              </w:rPr>
              <w:t>登</w:t>
            </w:r>
            <w:r w:rsidR="00D33F16" w:rsidRPr="00E144D6">
              <w:rPr>
                <w:rFonts w:ascii="標楷體" w:eastAsia="標楷體" w:hAnsi="標楷體" w:hint="eastAsia"/>
                <w:sz w:val="20"/>
              </w:rPr>
              <w:t>記</w:t>
            </w:r>
            <w:r w:rsidR="000F1B68" w:rsidRPr="00E144D6">
              <w:rPr>
                <w:rFonts w:ascii="標楷體" w:eastAsia="標楷體" w:hAnsi="標楷體" w:hint="eastAsia"/>
                <w:sz w:val="20"/>
              </w:rPr>
              <w:t>之</w:t>
            </w:r>
            <w:r w:rsidRPr="00E144D6">
              <w:rPr>
                <w:rFonts w:ascii="標楷體" w:eastAsia="標楷體" w:hAnsi="標楷體" w:hint="eastAsia"/>
                <w:sz w:val="20"/>
              </w:rPr>
              <w:t>執</w:t>
            </w:r>
            <w:r w:rsidR="00D33F16" w:rsidRPr="00E144D6">
              <w:rPr>
                <w:rFonts w:ascii="標楷體" w:eastAsia="標楷體" w:hAnsi="標楷體" w:hint="eastAsia"/>
                <w:sz w:val="20"/>
              </w:rPr>
              <w:t>業範圍</w:t>
            </w:r>
          </w:p>
          <w:p w:rsidR="00EA23AF" w:rsidRPr="00E144D6" w:rsidRDefault="00EA23AF" w:rsidP="00E144D6">
            <w:pPr>
              <w:pStyle w:val="19"/>
              <w:spacing w:line="240" w:lineRule="exact"/>
              <w:ind w:left="0" w:firstLine="0"/>
              <w:rPr>
                <w:rFonts w:ascii="標楷體" w:eastAsia="標楷體" w:hAnsi="標楷體" w:hint="eastAsia"/>
                <w:sz w:val="20"/>
              </w:rPr>
            </w:pP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申誡或2個月以上2年以下停止業務之懲戒。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第41條第1項第4款</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受停業處分之技師，於停業期間執行業務</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廢止執業執照之懲戒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第22條、</w:t>
            </w:r>
            <w:r w:rsidR="008E681B" w:rsidRPr="00E144D6">
              <w:rPr>
                <w:rFonts w:ascii="標楷體" w:eastAsia="標楷體" w:hAnsi="標楷體" w:hint="eastAsia"/>
                <w:sz w:val="20"/>
                <w:szCs w:val="20"/>
              </w:rPr>
              <w:t>第53條第2項</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執業期間不接受主管機關專業訓練</w:t>
            </w:r>
          </w:p>
        </w:tc>
        <w:tc>
          <w:tcPr>
            <w:tcW w:w="1904" w:type="pct"/>
          </w:tcPr>
          <w:p w:rsidR="00D33F16" w:rsidRPr="00E144D6" w:rsidRDefault="006A2B4E" w:rsidP="00E144D6">
            <w:p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中央</w:t>
            </w:r>
            <w:proofErr w:type="gramStart"/>
            <w:r w:rsidRPr="00E144D6">
              <w:rPr>
                <w:rFonts w:ascii="標楷體" w:eastAsia="標楷體" w:hAnsi="標楷體" w:hint="eastAsia"/>
                <w:sz w:val="20"/>
                <w:szCs w:val="20"/>
              </w:rPr>
              <w:t>主管機關應命其</w:t>
            </w:r>
            <w:proofErr w:type="gramEnd"/>
            <w:r w:rsidRPr="00E144D6">
              <w:rPr>
                <w:rFonts w:ascii="標楷體" w:eastAsia="標楷體" w:hAnsi="標楷體" w:hint="eastAsia"/>
                <w:sz w:val="20"/>
                <w:szCs w:val="20"/>
              </w:rPr>
              <w:t>限期改善，屆期未改善或再次違反者，處6千元以上3萬元以下罰鍰；經處罰鍰後仍未改善者，得按次處罰。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第23條</w:t>
            </w:r>
            <w:r w:rsidR="00A46A7A" w:rsidRPr="00E144D6">
              <w:rPr>
                <w:rFonts w:ascii="標楷體" w:eastAsia="標楷體" w:hAnsi="標楷體" w:hint="eastAsia"/>
                <w:sz w:val="20"/>
                <w:szCs w:val="20"/>
              </w:rPr>
              <w:t>第1項</w:t>
            </w:r>
            <w:r w:rsidRPr="00E144D6">
              <w:rPr>
                <w:rFonts w:ascii="標楷體" w:eastAsia="標楷體" w:hAnsi="標楷體" w:hint="eastAsia"/>
                <w:sz w:val="20"/>
                <w:szCs w:val="20"/>
              </w:rPr>
              <w:t>、第41條第1項第2款</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拒絕</w:t>
            </w:r>
            <w:r w:rsidR="00C158DF" w:rsidRPr="00E144D6">
              <w:rPr>
                <w:rFonts w:ascii="標楷體" w:eastAsia="標楷體" w:hAnsi="標楷體" w:hint="eastAsia"/>
                <w:sz w:val="20"/>
              </w:rPr>
              <w:t>或規避</w:t>
            </w:r>
            <w:r w:rsidRPr="00E144D6">
              <w:rPr>
                <w:rFonts w:ascii="標楷體" w:eastAsia="標楷體" w:hAnsi="標楷體" w:hint="eastAsia"/>
                <w:sz w:val="20"/>
              </w:rPr>
              <w:t>主管機關</w:t>
            </w:r>
            <w:r w:rsidR="00B47B8F" w:rsidRPr="00E144D6">
              <w:rPr>
                <w:rFonts w:ascii="標楷體" w:eastAsia="標楷體" w:hAnsi="標楷體" w:hint="eastAsia"/>
                <w:sz w:val="20"/>
              </w:rPr>
              <w:t>及中央目的事業主管機關</w:t>
            </w:r>
            <w:r w:rsidRPr="00E144D6">
              <w:rPr>
                <w:rFonts w:ascii="標楷體" w:eastAsia="標楷體" w:hAnsi="標楷體" w:hint="eastAsia"/>
                <w:sz w:val="20"/>
              </w:rPr>
              <w:t>檢查業務或向其報告</w:t>
            </w:r>
            <w:r w:rsidR="00B47B8F" w:rsidRPr="00E144D6">
              <w:rPr>
                <w:rFonts w:ascii="標楷體" w:eastAsia="標楷體" w:hAnsi="標楷體" w:hint="eastAsia"/>
                <w:sz w:val="20"/>
              </w:rPr>
              <w:t>、提出證明文件、表冊及有關資料</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申誡或2個月以上2年以下停止業務之懲戒。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第39條、第41條第2項</w:t>
            </w:r>
          </w:p>
        </w:tc>
        <w:tc>
          <w:tcPr>
            <w:tcW w:w="1745" w:type="pct"/>
          </w:tcPr>
          <w:p w:rsidR="00D33F16" w:rsidRPr="00E144D6" w:rsidRDefault="00D33F16" w:rsidP="00E144D6">
            <w:pPr>
              <w:pStyle w:val="19"/>
              <w:spacing w:line="240" w:lineRule="exact"/>
              <w:ind w:left="0" w:firstLine="0"/>
              <w:rPr>
                <w:rFonts w:ascii="標楷體" w:eastAsia="標楷體" w:hAnsi="標楷體"/>
                <w:sz w:val="20"/>
              </w:rPr>
            </w:pPr>
            <w:r w:rsidRPr="00E144D6">
              <w:rPr>
                <w:rFonts w:ascii="標楷體" w:eastAsia="標楷體" w:hAnsi="標楷體" w:hint="eastAsia"/>
                <w:sz w:val="20"/>
              </w:rPr>
              <w:t>違反技師法</w:t>
            </w:r>
            <w:r w:rsidR="003C2BFC" w:rsidRPr="00E144D6">
              <w:rPr>
                <w:rFonts w:ascii="標楷體" w:eastAsia="標楷體" w:hAnsi="標楷體" w:hint="eastAsia"/>
                <w:sz w:val="20"/>
              </w:rPr>
              <w:t>第</w:t>
            </w:r>
            <w:r w:rsidR="00891C17" w:rsidRPr="00E144D6">
              <w:rPr>
                <w:rFonts w:ascii="標楷體" w:eastAsia="標楷體" w:hAnsi="標楷體" w:hint="eastAsia"/>
                <w:sz w:val="20"/>
              </w:rPr>
              <w:t>16</w:t>
            </w:r>
            <w:r w:rsidR="003C2BFC" w:rsidRPr="00E144D6">
              <w:rPr>
                <w:rFonts w:ascii="標楷體" w:eastAsia="標楷體" w:hAnsi="標楷體" w:hint="eastAsia"/>
                <w:sz w:val="20"/>
              </w:rPr>
              <w:t>條至第</w:t>
            </w:r>
            <w:r w:rsidR="00891C17" w:rsidRPr="00E144D6">
              <w:rPr>
                <w:rFonts w:ascii="標楷體" w:eastAsia="標楷體" w:hAnsi="標楷體" w:hint="eastAsia"/>
                <w:sz w:val="20"/>
              </w:rPr>
              <w:t>18</w:t>
            </w:r>
            <w:r w:rsidR="003C2BFC" w:rsidRPr="00E144D6">
              <w:rPr>
                <w:rFonts w:ascii="標楷體" w:eastAsia="標楷體" w:hAnsi="標楷體" w:hint="eastAsia"/>
                <w:sz w:val="20"/>
              </w:rPr>
              <w:t>條、第</w:t>
            </w:r>
            <w:r w:rsidR="00891C17" w:rsidRPr="00E144D6">
              <w:rPr>
                <w:rFonts w:ascii="標楷體" w:eastAsia="標楷體" w:hAnsi="標楷體" w:hint="eastAsia"/>
                <w:sz w:val="20"/>
              </w:rPr>
              <w:t>19</w:t>
            </w:r>
            <w:r w:rsidR="003C2BFC" w:rsidRPr="00E144D6">
              <w:rPr>
                <w:rFonts w:ascii="標楷體" w:eastAsia="標楷體" w:hAnsi="標楷體" w:hint="eastAsia"/>
                <w:sz w:val="20"/>
              </w:rPr>
              <w:t>條第</w:t>
            </w:r>
            <w:r w:rsidR="00891C17" w:rsidRPr="00E144D6">
              <w:rPr>
                <w:rFonts w:ascii="標楷體" w:eastAsia="標楷體" w:hAnsi="標楷體" w:hint="eastAsia"/>
                <w:sz w:val="20"/>
              </w:rPr>
              <w:t>1</w:t>
            </w:r>
            <w:r w:rsidR="003C2BFC" w:rsidRPr="00E144D6">
              <w:rPr>
                <w:rFonts w:ascii="標楷體" w:eastAsia="標楷體" w:hAnsi="標楷體" w:hint="eastAsia"/>
                <w:sz w:val="20"/>
              </w:rPr>
              <w:t>項、第</w:t>
            </w:r>
            <w:r w:rsidR="00891C17" w:rsidRPr="00E144D6">
              <w:rPr>
                <w:rFonts w:ascii="標楷體" w:eastAsia="標楷體" w:hAnsi="標楷體" w:hint="eastAsia"/>
                <w:sz w:val="20"/>
              </w:rPr>
              <w:t>20</w:t>
            </w:r>
            <w:r w:rsidR="003C2BFC" w:rsidRPr="00E144D6">
              <w:rPr>
                <w:rFonts w:ascii="標楷體" w:eastAsia="標楷體" w:hAnsi="標楷體" w:hint="eastAsia"/>
                <w:sz w:val="20"/>
              </w:rPr>
              <w:t>條、第</w:t>
            </w:r>
            <w:r w:rsidR="00891C17" w:rsidRPr="00E144D6">
              <w:rPr>
                <w:rFonts w:ascii="標楷體" w:eastAsia="標楷體" w:hAnsi="標楷體" w:hint="eastAsia"/>
                <w:sz w:val="20"/>
              </w:rPr>
              <w:t>21</w:t>
            </w:r>
            <w:r w:rsidR="003C2BFC" w:rsidRPr="00E144D6">
              <w:rPr>
                <w:rFonts w:ascii="標楷體" w:eastAsia="標楷體" w:hAnsi="標楷體" w:hint="eastAsia"/>
                <w:sz w:val="20"/>
              </w:rPr>
              <w:t>條或第</w:t>
            </w:r>
            <w:r w:rsidR="00891C17" w:rsidRPr="00E144D6">
              <w:rPr>
                <w:rFonts w:ascii="標楷體" w:eastAsia="標楷體" w:hAnsi="標楷體" w:hint="eastAsia"/>
                <w:sz w:val="20"/>
              </w:rPr>
              <w:t>23</w:t>
            </w:r>
            <w:r w:rsidR="003C2BFC" w:rsidRPr="00E144D6">
              <w:rPr>
                <w:rFonts w:ascii="標楷體" w:eastAsia="標楷體" w:hAnsi="標楷體" w:hint="eastAsia"/>
                <w:sz w:val="20"/>
              </w:rPr>
              <w:t>條第</w:t>
            </w:r>
            <w:r w:rsidR="00891C17" w:rsidRPr="00E144D6">
              <w:rPr>
                <w:rFonts w:ascii="標楷體" w:eastAsia="標楷體" w:hAnsi="標楷體" w:hint="eastAsia"/>
                <w:sz w:val="20"/>
              </w:rPr>
              <w:t>1</w:t>
            </w:r>
            <w:r w:rsidR="003C2BFC" w:rsidRPr="00E144D6">
              <w:rPr>
                <w:rFonts w:ascii="標楷體" w:eastAsia="標楷體" w:hAnsi="標楷體" w:hint="eastAsia"/>
                <w:sz w:val="20"/>
              </w:rPr>
              <w:t>項</w:t>
            </w:r>
            <w:r w:rsidRPr="00E144D6">
              <w:rPr>
                <w:rFonts w:ascii="標楷體" w:eastAsia="標楷體" w:hAnsi="標楷體" w:hint="eastAsia"/>
                <w:sz w:val="20"/>
              </w:rPr>
              <w:t>所定之行為者。</w:t>
            </w:r>
          </w:p>
          <w:p w:rsidR="00D33F16" w:rsidRPr="00E144D6" w:rsidRDefault="00D33F16" w:rsidP="00E144D6">
            <w:pPr>
              <w:pStyle w:val="19"/>
              <w:spacing w:line="240" w:lineRule="exact"/>
              <w:ind w:left="0" w:firstLine="0"/>
              <w:rPr>
                <w:rFonts w:ascii="標楷體" w:eastAsia="標楷體" w:hAnsi="標楷體"/>
                <w:sz w:val="20"/>
              </w:rPr>
            </w:pPr>
            <w:r w:rsidRPr="00E144D6">
              <w:rPr>
                <w:rFonts w:ascii="標楷體" w:eastAsia="標楷體" w:hAnsi="標楷體" w:hint="eastAsia"/>
                <w:sz w:val="20"/>
              </w:rPr>
              <w:t>因業務上有關之犯罪行為</w:t>
            </w:r>
            <w:r w:rsidR="00EA5191" w:rsidRPr="00E144D6">
              <w:rPr>
                <w:rFonts w:ascii="標楷體" w:eastAsia="標楷體" w:hAnsi="標楷體" w:hint="eastAsia"/>
                <w:sz w:val="20"/>
              </w:rPr>
              <w:t>，經判刑</w:t>
            </w:r>
            <w:r w:rsidRPr="00E144D6">
              <w:rPr>
                <w:rFonts w:ascii="標楷體" w:eastAsia="標楷體" w:hAnsi="標楷體" w:hint="eastAsia"/>
                <w:sz w:val="20"/>
              </w:rPr>
              <w:t>確定者。</w:t>
            </w:r>
          </w:p>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違背技師公會章程</w:t>
            </w:r>
            <w:r w:rsidR="004A18FD" w:rsidRPr="00E144D6">
              <w:rPr>
                <w:rFonts w:ascii="標楷體" w:eastAsia="標楷體" w:hAnsi="標楷體" w:hint="eastAsia"/>
                <w:sz w:val="20"/>
              </w:rPr>
              <w:t>、倫理規範或第</w:t>
            </w:r>
            <w:r w:rsidR="00891C17" w:rsidRPr="00E144D6">
              <w:rPr>
                <w:rFonts w:ascii="標楷體" w:eastAsia="標楷體" w:hAnsi="標楷體" w:hint="eastAsia"/>
                <w:sz w:val="20"/>
              </w:rPr>
              <w:t>24</w:t>
            </w:r>
            <w:r w:rsidR="004A18FD" w:rsidRPr="00E144D6">
              <w:rPr>
                <w:rFonts w:ascii="標楷體" w:eastAsia="標楷體" w:hAnsi="標楷體" w:hint="eastAsia"/>
                <w:sz w:val="20"/>
              </w:rPr>
              <w:t>條第</w:t>
            </w:r>
            <w:r w:rsidR="00891C17" w:rsidRPr="00E144D6">
              <w:rPr>
                <w:rFonts w:ascii="標楷體" w:eastAsia="標楷體" w:hAnsi="標楷體" w:hint="eastAsia"/>
                <w:sz w:val="20"/>
              </w:rPr>
              <w:t>2</w:t>
            </w:r>
            <w:r w:rsidR="004A18FD" w:rsidRPr="00E144D6">
              <w:rPr>
                <w:rFonts w:ascii="標楷體" w:eastAsia="標楷體" w:hAnsi="標楷體" w:hint="eastAsia"/>
                <w:sz w:val="20"/>
              </w:rPr>
              <w:t>項規定</w:t>
            </w:r>
            <w:r w:rsidRPr="00E144D6">
              <w:rPr>
                <w:rFonts w:ascii="標楷體" w:eastAsia="標楷體" w:hAnsi="標楷體" w:hint="eastAsia"/>
                <w:sz w:val="20"/>
              </w:rPr>
              <w:t>之行為，情節重大者。</w:t>
            </w:r>
          </w:p>
        </w:tc>
        <w:tc>
          <w:tcPr>
            <w:tcW w:w="1904" w:type="pct"/>
          </w:tcPr>
          <w:p w:rsidR="00D33F16" w:rsidRPr="00E144D6" w:rsidRDefault="00D33F16" w:rsidP="00E144D6">
            <w:pPr>
              <w:numPr>
                <w:ilvl w:val="0"/>
                <w:numId w:val="25"/>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除依技師法規定處分外，應付懲戒。</w:t>
            </w:r>
          </w:p>
          <w:p w:rsidR="00D33F16" w:rsidRPr="00E144D6" w:rsidRDefault="00D33F16" w:rsidP="00E144D6">
            <w:pPr>
              <w:numPr>
                <w:ilvl w:val="0"/>
                <w:numId w:val="25"/>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技師有第39條第2款或第3款規定情事之</w:t>
            </w:r>
            <w:proofErr w:type="gramStart"/>
            <w:r w:rsidRPr="00E144D6">
              <w:rPr>
                <w:rFonts w:ascii="標楷體" w:eastAsia="標楷體" w:hAnsi="標楷體" w:hint="eastAsia"/>
                <w:sz w:val="20"/>
                <w:szCs w:val="20"/>
              </w:rPr>
              <w:t>一</w:t>
            </w:r>
            <w:proofErr w:type="gramEnd"/>
            <w:r w:rsidRPr="00E144D6">
              <w:rPr>
                <w:rFonts w:ascii="標楷體" w:eastAsia="標楷體" w:hAnsi="標楷體" w:hint="eastAsia"/>
                <w:sz w:val="20"/>
                <w:szCs w:val="20"/>
              </w:rPr>
              <w:t>者，其懲戒</w:t>
            </w:r>
            <w:r w:rsidR="00CF598E" w:rsidRPr="00E144D6">
              <w:rPr>
                <w:rFonts w:ascii="標楷體" w:eastAsia="標楷體" w:hAnsi="標楷體" w:hint="eastAsia"/>
                <w:sz w:val="20"/>
                <w:szCs w:val="20"/>
              </w:rPr>
              <w:t>，</w:t>
            </w:r>
            <w:r w:rsidRPr="00E144D6">
              <w:rPr>
                <w:rFonts w:ascii="標楷體" w:eastAsia="標楷體" w:hAnsi="標楷體" w:hint="eastAsia"/>
                <w:sz w:val="20"/>
                <w:szCs w:val="20"/>
              </w:rPr>
              <w:t>由技師懲戒委員會依第40條規定，視情節輕重議定之。</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第40條第2項</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依</w:t>
            </w:r>
            <w:r w:rsidR="00E74F85" w:rsidRPr="00E144D6">
              <w:rPr>
                <w:rFonts w:ascii="標楷體" w:eastAsia="標楷體" w:hAnsi="標楷體" w:hint="eastAsia"/>
                <w:sz w:val="20"/>
              </w:rPr>
              <w:t>技師</w:t>
            </w:r>
            <w:r w:rsidRPr="00E144D6">
              <w:rPr>
                <w:rFonts w:ascii="標楷體" w:eastAsia="標楷體" w:hAnsi="標楷體" w:hint="eastAsia"/>
                <w:sz w:val="20"/>
              </w:rPr>
              <w:t>法受申誡處分3次以上或受停止業務處分累計滿5年者</w:t>
            </w:r>
          </w:p>
        </w:tc>
        <w:tc>
          <w:tcPr>
            <w:tcW w:w="1904" w:type="pct"/>
          </w:tcPr>
          <w:p w:rsidR="00D33F16" w:rsidRPr="00E144D6" w:rsidRDefault="00D33F16" w:rsidP="00E144D6">
            <w:pPr>
              <w:snapToGrid w:val="0"/>
              <w:spacing w:line="240" w:lineRule="exact"/>
              <w:rPr>
                <w:rFonts w:ascii="標楷體" w:eastAsia="標楷體" w:hAnsi="標楷體" w:hint="eastAsia"/>
                <w:sz w:val="20"/>
                <w:szCs w:val="20"/>
              </w:rPr>
            </w:pPr>
            <w:r w:rsidRPr="00E144D6">
              <w:rPr>
                <w:rFonts w:ascii="標楷體" w:eastAsia="標楷體" w:hAnsi="標楷體" w:hint="eastAsia"/>
                <w:sz w:val="20"/>
                <w:szCs w:val="20"/>
              </w:rPr>
              <w:t>技師受申誡處分3次以上者，應另受停止業務之處分；受停止業務處分累計滿5年者，應廢止其執業執照。</w:t>
            </w: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ind w:left="240" w:hanging="240"/>
              <w:rPr>
                <w:rFonts w:ascii="標楷體" w:eastAsia="標楷體" w:hAnsi="標楷體" w:hint="eastAsia"/>
                <w:sz w:val="20"/>
                <w:szCs w:val="20"/>
              </w:rPr>
            </w:pPr>
            <w:r w:rsidRPr="00E144D6">
              <w:rPr>
                <w:rFonts w:ascii="標楷體" w:eastAsia="標楷體" w:hAnsi="標楷體" w:hint="eastAsia"/>
                <w:sz w:val="20"/>
                <w:szCs w:val="20"/>
              </w:rPr>
              <w:t>建築師法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第46條第1項第5款</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違反不得充任建築師規定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撤銷或廢止開業證書之懲戒。</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其已充任建築師者，撤銷或廢止其建築師證書。</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第46條第1項第2款</w:t>
            </w:r>
          </w:p>
        </w:tc>
        <w:tc>
          <w:tcPr>
            <w:tcW w:w="1745" w:type="pct"/>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違反建築師事務所設立及登記規定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申誡或停止執行業務2月以上2年以下之懲戒。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第46條第1項第1款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開業後之事務所地址變更及從業建築師與技術人員聘僱情形，未向直轄市、縣（市）主管機關分別登記</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警告或申誡之懲戒。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第46條第1項第1款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事務所遷移未向原登記之主管機關申請核轉</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警告或申誡之懲戒。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第13條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第46條第1項第1款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自行停止執業建築師，未檢具開業證書向原登記主管機關申請註銷開業證書</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警告或申誡之懲戒。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第46條第1項第4款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違反設計規定</w:t>
            </w:r>
          </w:p>
        </w:tc>
        <w:tc>
          <w:tcPr>
            <w:tcW w:w="1904" w:type="pct"/>
          </w:tcPr>
          <w:p w:rsidR="00D33F16" w:rsidRPr="00E144D6" w:rsidRDefault="00360A00"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w:t>
            </w:r>
            <w:r w:rsidR="00D33F16" w:rsidRPr="00E144D6">
              <w:rPr>
                <w:rFonts w:ascii="標楷體" w:eastAsia="標楷體" w:hAnsi="標楷體" w:hint="eastAsia"/>
                <w:sz w:val="20"/>
                <w:szCs w:val="20"/>
              </w:rPr>
              <w:t>申誡或停止業務2月以上2年以下或撤銷開業</w:t>
            </w:r>
            <w:proofErr w:type="gramStart"/>
            <w:r w:rsidR="00D33F16" w:rsidRPr="00E144D6">
              <w:rPr>
                <w:rFonts w:ascii="標楷體" w:eastAsia="標楷體" w:hAnsi="標楷體" w:hint="eastAsia"/>
                <w:sz w:val="20"/>
                <w:szCs w:val="20"/>
              </w:rPr>
              <w:t>証</w:t>
            </w:r>
            <w:proofErr w:type="gramEnd"/>
            <w:r w:rsidR="00D33F16" w:rsidRPr="00E144D6">
              <w:rPr>
                <w:rFonts w:ascii="標楷體" w:eastAsia="標楷體" w:hAnsi="標楷體" w:hint="eastAsia"/>
                <w:sz w:val="20"/>
                <w:szCs w:val="20"/>
              </w:rPr>
              <w:t>書之懲戒。</w:t>
            </w:r>
          </w:p>
        </w:tc>
      </w:tr>
      <w:tr w:rsidR="00D33F16" w:rsidRPr="00E144D6" w:rsidTr="00E144D6">
        <w:tblPrEx>
          <w:tblCellMar>
            <w:top w:w="0" w:type="dxa"/>
            <w:bottom w:w="0" w:type="dxa"/>
          </w:tblCellMar>
        </w:tblPrEx>
        <w:trPr>
          <w:cantSplit/>
          <w:trHeight w:val="738"/>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第46條第1項第4款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違反監造規定</w:t>
            </w:r>
          </w:p>
        </w:tc>
        <w:tc>
          <w:tcPr>
            <w:tcW w:w="1904" w:type="pct"/>
          </w:tcPr>
          <w:p w:rsidR="00D33F16" w:rsidRPr="00E144D6" w:rsidRDefault="00360A00"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w:t>
            </w:r>
            <w:r w:rsidR="00D33F16" w:rsidRPr="00E144D6">
              <w:rPr>
                <w:rFonts w:ascii="標楷體" w:eastAsia="標楷體" w:hAnsi="標楷體" w:hint="eastAsia"/>
                <w:sz w:val="20"/>
                <w:szCs w:val="20"/>
              </w:rPr>
              <w:t>申誡或停止業務2月以上2年以下或撤銷開業</w:t>
            </w:r>
            <w:proofErr w:type="gramStart"/>
            <w:r w:rsidR="00D33F16" w:rsidRPr="00E144D6">
              <w:rPr>
                <w:rFonts w:ascii="標楷體" w:eastAsia="標楷體" w:hAnsi="標楷體" w:hint="eastAsia"/>
                <w:sz w:val="20"/>
                <w:szCs w:val="20"/>
              </w:rPr>
              <w:t>証</w:t>
            </w:r>
            <w:proofErr w:type="gramEnd"/>
            <w:r w:rsidR="00D33F16" w:rsidRPr="00E144D6">
              <w:rPr>
                <w:rFonts w:ascii="標楷體" w:eastAsia="標楷體" w:hAnsi="標楷體" w:hint="eastAsia"/>
                <w:sz w:val="20"/>
                <w:szCs w:val="20"/>
              </w:rPr>
              <w:t>書之懲戒。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第24條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第46條第1項第2款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未襄助辦理經主管機關指定之公共安全、社會福利及預防災害等有關建築事項</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申誡或停止執行業務2月以上2年以下之懲戒。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第46條第1項第3款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兼任或兼營職業</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停止執行業務2月以上2年以下，其不遵從而繼續執業</w:t>
            </w:r>
            <w:r w:rsidRPr="00E144D6">
              <w:rPr>
                <w:rFonts w:ascii="標楷體" w:eastAsia="標楷體" w:hAnsi="標楷體"/>
                <w:sz w:val="20"/>
                <w:szCs w:val="20"/>
              </w:rPr>
              <w:t>者，應予廢止開業證書</w:t>
            </w:r>
            <w:r w:rsidRPr="00E144D6">
              <w:rPr>
                <w:rFonts w:ascii="標楷體" w:eastAsia="標楷體" w:hAnsi="標楷體" w:hint="eastAsia"/>
                <w:sz w:val="20"/>
                <w:szCs w:val="20"/>
              </w:rPr>
              <w:t>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第46條第1項第5款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允諾他人假借其名義執行業務</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撤銷或廢止開業證書之懲戒。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第46條第1項第2款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因業務知悉他人之秘密而洩漏</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申誡或</w:t>
            </w:r>
            <w:r w:rsidRPr="00E144D6">
              <w:rPr>
                <w:rFonts w:ascii="標楷體" w:eastAsia="標楷體" w:hAnsi="標楷體"/>
                <w:sz w:val="20"/>
                <w:szCs w:val="20"/>
              </w:rPr>
              <w:t>停止執行業務</w:t>
            </w:r>
            <w:r w:rsidRPr="00E144D6">
              <w:rPr>
                <w:rFonts w:ascii="標楷體" w:eastAsia="標楷體" w:hAnsi="標楷體" w:hint="eastAsia"/>
                <w:sz w:val="20"/>
                <w:szCs w:val="20"/>
              </w:rPr>
              <w:t>2月以上2年以下之懲戒。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第43條</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未經領有開業證書、已撤銷或廢止開業證書、未加入建築師公會或受停止執行業務處分而擅自執業者</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除勒令停業外，並處新臺幣1萬元以上3萬元以下之罰鍰；其不遵從而繼續執業者，得按次連續處罰。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第9條之1</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第43條之1</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違反第9條之1規定，開業證書已逾有效期間未申請換發，而繼續執行建築師業務者</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處新臺幣6千元以上1萬5千元以下罰鍰，並令其限期補辦申請；屆期不遵從而繼續執業者，得按次連續處罰。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第54條第3項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第46條第1項第1款</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外國人經許可在中華民國開業為建築師者，其有關業務上所用之文件、圖說，未以中華民國文字為主</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警告或申誡之懲戒。</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第45條第2項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依本法受申誡處分3次以上或受停止執行業務處分累計滿5年者</w:t>
            </w:r>
          </w:p>
        </w:tc>
        <w:tc>
          <w:tcPr>
            <w:tcW w:w="1904" w:type="pct"/>
          </w:tcPr>
          <w:p w:rsidR="00D33F16" w:rsidRPr="00E144D6" w:rsidRDefault="00D33F16" w:rsidP="00E144D6">
            <w:pPr>
              <w:snapToGrid w:val="0"/>
              <w:spacing w:line="240" w:lineRule="exact"/>
              <w:rPr>
                <w:rFonts w:ascii="標楷體" w:eastAsia="標楷體" w:hAnsi="標楷體" w:hint="eastAsia"/>
                <w:sz w:val="20"/>
                <w:szCs w:val="20"/>
              </w:rPr>
            </w:pPr>
            <w:r w:rsidRPr="00E144D6">
              <w:rPr>
                <w:rFonts w:ascii="標楷體" w:eastAsia="標楷體" w:hAnsi="標楷體" w:hint="eastAsia"/>
                <w:sz w:val="20"/>
                <w:szCs w:val="20"/>
              </w:rPr>
              <w:t>建築師受申誡處分3次以上者，應另受停止執行業務時限之處分；受停止執行業務處分累計滿5年者，應廢止其開業證書。</w:t>
            </w: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工程技術顧問公司管理條例</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第29條第1項第1款、第3項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董事長或代表人未由執業技師擔任</w:t>
            </w:r>
          </w:p>
          <w:p w:rsidR="00D33F16" w:rsidRPr="00E144D6" w:rsidRDefault="00D33F1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所置執業技師，未有1人具7年以上之工程實務經驗，且其中2年以上須負責專案工程業務。</w:t>
            </w:r>
          </w:p>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未按登記營業範圍之各類科別，各置執業技師1人以上。</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第29條第1項第2款、第3項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董事、執行業務或代表公司之股東，未有三分之一以上為該公司營業範圍之執業技師</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第29條第1項第3款、第3項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負責工程技術業務之經理人或工程技術部門負責人，未由執業技師擔任</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第8條第1項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第27條第1項第1款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未領有主管機關核發之登記證而營業</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勒令其歇業，並得處新臺幣50萬元以上250萬元以下罰鍰。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第8條第1項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第32條第1項第1款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未加入公會而營業</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第32條第1項第2款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受聘於工程技術顧問公司或組織工程技術顧問公司之執業技師，未於期限內，依法申請或變更執（開）業證照</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第13條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第29條第1項第4款、第3項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受聘於工程技術顧問公司或組織工程技術顧問公司之執業技師，非專任之繼續性從業人員，</w:t>
            </w:r>
            <w:proofErr w:type="gramStart"/>
            <w:r w:rsidRPr="00E144D6">
              <w:rPr>
                <w:rFonts w:ascii="標楷體" w:eastAsia="標楷體" w:hAnsi="標楷體" w:hint="eastAsia"/>
                <w:sz w:val="20"/>
              </w:rPr>
              <w:t>或未僅在</w:t>
            </w:r>
            <w:proofErr w:type="gramEnd"/>
            <w:r w:rsidRPr="00E144D6">
              <w:rPr>
                <w:rFonts w:ascii="標楷體" w:eastAsia="標楷體" w:hAnsi="標楷體" w:hint="eastAsia"/>
                <w:sz w:val="20"/>
              </w:rPr>
              <w:t>該公司執行業務</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adjustRightInd w:val="0"/>
              <w:snapToGrid w:val="0"/>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第14條第1項及第2項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第32條第1項第3款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執業技師離職或受停止業務處分，未依規定報請主管機關備查。</w:t>
            </w:r>
          </w:p>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前項工程技術顧問公司於違反第5條規定</w:t>
            </w:r>
            <w:proofErr w:type="gramStart"/>
            <w:r w:rsidRPr="00E144D6">
              <w:rPr>
                <w:rFonts w:ascii="標楷體" w:eastAsia="標楷體" w:hAnsi="標楷體" w:hint="eastAsia"/>
                <w:sz w:val="20"/>
              </w:rPr>
              <w:t>期間，</w:t>
            </w:r>
            <w:proofErr w:type="gramEnd"/>
            <w:r w:rsidRPr="00E144D6">
              <w:rPr>
                <w:rFonts w:ascii="標楷體" w:eastAsia="標楷體" w:hAnsi="標楷體" w:hint="eastAsia"/>
                <w:sz w:val="20"/>
              </w:rPr>
              <w:t>其已承接業務未終止契約或委託辦理</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adjustRightInd w:val="0"/>
              <w:snapToGrid w:val="0"/>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第32條第1項第4款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未依規定向主管機關申請登記證之記載事項、董事、執行業務或代表公司之股東之變更許可。</w:t>
            </w:r>
          </w:p>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未換發登記證。</w:t>
            </w:r>
          </w:p>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未依規定申請變更監察人或執業技師名冊。</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adjustRightInd w:val="0"/>
              <w:snapToGrid w:val="0"/>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第27條第1項第2款、第2項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將工程技術顧問公司登記證出租或出借與他人使用</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勒令其歇業，並得處新臺幣</w:t>
            </w:r>
            <w:r w:rsidR="00F1425C" w:rsidRPr="00E144D6">
              <w:rPr>
                <w:rFonts w:ascii="標楷體" w:eastAsia="標楷體" w:hAnsi="標楷體" w:hint="eastAsia"/>
                <w:sz w:val="20"/>
                <w:szCs w:val="20"/>
              </w:rPr>
              <w:t>50</w:t>
            </w:r>
            <w:r w:rsidRPr="00E144D6">
              <w:rPr>
                <w:rFonts w:ascii="標楷體" w:eastAsia="標楷體" w:hAnsi="標楷體" w:hint="eastAsia"/>
                <w:sz w:val="20"/>
                <w:szCs w:val="20"/>
              </w:rPr>
              <w:t>萬元以上</w:t>
            </w:r>
            <w:r w:rsidR="00F1425C" w:rsidRPr="00E144D6">
              <w:rPr>
                <w:rFonts w:ascii="標楷體" w:eastAsia="標楷體" w:hAnsi="標楷體" w:hint="eastAsia"/>
                <w:sz w:val="20"/>
                <w:szCs w:val="20"/>
              </w:rPr>
              <w:t>250</w:t>
            </w:r>
            <w:r w:rsidRPr="00E144D6">
              <w:rPr>
                <w:rFonts w:ascii="標楷體" w:eastAsia="標楷體" w:hAnsi="標楷體" w:hint="eastAsia"/>
                <w:sz w:val="20"/>
                <w:szCs w:val="20"/>
              </w:rPr>
              <w:t>萬元以下罰鍰。由主管機關廢止其許可及註銷登記證，並通知公司登記主管機關廢止其公司登記或部分登記事項。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第29條第1項第5款、第3項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違反承接工程技術服務業務規定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第17條第3項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第29條第2項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受工程技術顧問公司指派之監督業務人員違反承接工程技術服務業務規定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第18條第2項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第27條第1項第3款、第2項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停業期間再行承接業務</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勒令其歇業，並得處新臺幣50萬元以上250萬元以下罰鍰。由主管機關廢止其許可及註銷登記證，並通知公司登記主管機關廢止其公司登記或部分登記事項。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第20條第2項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第29條第1項第6款、第3項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違反專業責任保險之退保及契約變動之通知義務規定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第32條第1項第5款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違反年度業務報告書規定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第29條第1項第7款、第3項</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工程技術顧問公司及其執業技師規避、妨礙或拒絕，主管機關檢查</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第23條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第32條第1項第6款</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違反編列研究發展及人才培育經費規定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命其限期改善；屆期未改善或再次違反者，處新臺幣2萬元以上10萬元以下罰鍰；主管機關得按次連續處罰並限期改善；情節重大者，得予以警告處分。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第28條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借用、租用、冒用、偽造或變造工程技術顧問公司登記證</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處新臺幣50萬元以上2百萬元以下罰鍰。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第30條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工程技術顧問公司之執業技師執行業務，違反與業務有關法令</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依相關法令處罰執業技師。對該工程技術顧問公司亦處新臺幣10萬元以上50萬元以下罰鍰，並得命其監督執業技師限期改正；屆期未改正者，得按次連續處罰至改正為止。</w:t>
            </w:r>
          </w:p>
        </w:tc>
      </w:tr>
    </w:tbl>
    <w:p w:rsidR="00D33F16" w:rsidRPr="00E144D6" w:rsidRDefault="00D33F16" w:rsidP="00E144D6">
      <w:pPr>
        <w:snapToGrid w:val="0"/>
        <w:spacing w:line="240" w:lineRule="exact"/>
        <w:ind w:left="600" w:hangingChars="300" w:hanging="600"/>
        <w:rPr>
          <w:rFonts w:ascii="標楷體" w:eastAsia="標楷體" w:hAnsi="標楷體"/>
          <w:sz w:val="20"/>
          <w:szCs w:val="20"/>
        </w:rPr>
      </w:pPr>
      <w:r w:rsidRPr="00E144D6">
        <w:rPr>
          <w:rFonts w:ascii="標楷體" w:eastAsia="標楷體" w:hAnsi="標楷體" w:hint="eastAsia"/>
          <w:sz w:val="20"/>
          <w:szCs w:val="20"/>
        </w:rPr>
        <w:t>備註：其他各中央目的事業主管機關或地方政府所頒行之相關法規如</w:t>
      </w:r>
      <w:proofErr w:type="gramStart"/>
      <w:r w:rsidRPr="00E144D6">
        <w:rPr>
          <w:rFonts w:ascii="標楷體" w:eastAsia="標楷體" w:hAnsi="標楷體" w:hint="eastAsia"/>
          <w:sz w:val="20"/>
          <w:szCs w:val="20"/>
        </w:rPr>
        <w:t>勞</w:t>
      </w:r>
      <w:proofErr w:type="gramEnd"/>
      <w:r w:rsidRPr="00E144D6">
        <w:rPr>
          <w:rFonts w:ascii="標楷體" w:eastAsia="標楷體" w:hAnsi="標楷體" w:hint="eastAsia"/>
          <w:sz w:val="20"/>
          <w:szCs w:val="20"/>
        </w:rPr>
        <w:t>安衛、環保、水利、水保、共同管道、建築、鐵公路等另有規定者，依其規定辦理。</w:t>
      </w:r>
    </w:p>
    <w:p w:rsidR="00D33F16" w:rsidRPr="00E144D6" w:rsidRDefault="00D33F16" w:rsidP="00E144D6">
      <w:pPr>
        <w:spacing w:line="320" w:lineRule="exact"/>
        <w:rPr>
          <w:rFonts w:ascii="標楷體" w:eastAsia="標楷體" w:hAnsi="標楷體" w:hint="eastAsia"/>
        </w:rPr>
      </w:pPr>
      <w:r w:rsidRPr="00E144D6">
        <w:rPr>
          <w:rFonts w:ascii="標楷體" w:eastAsia="標楷體" w:hAnsi="標楷體"/>
          <w:sz w:val="20"/>
          <w:szCs w:val="20"/>
        </w:rPr>
        <w:br w:type="page"/>
      </w:r>
      <w:r w:rsidRPr="00E144D6">
        <w:rPr>
          <w:rFonts w:ascii="標楷體" w:eastAsia="標楷體" w:hAnsi="標楷體" w:hint="eastAsia"/>
        </w:rPr>
        <w:lastRenderedPageBreak/>
        <w:t>（四）其他法規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8"/>
        <w:gridCol w:w="1680"/>
        <w:gridCol w:w="3861"/>
        <w:gridCol w:w="3658"/>
      </w:tblGrid>
      <w:tr w:rsidR="00D33F16" w:rsidRPr="00E144D6">
        <w:tblPrEx>
          <w:tblCellMar>
            <w:top w:w="0" w:type="dxa"/>
            <w:bottom w:w="0" w:type="dxa"/>
          </w:tblCellMar>
        </w:tblPrEx>
        <w:tc>
          <w:tcPr>
            <w:tcW w:w="390" w:type="pct"/>
            <w:tcBorders>
              <w:top w:val="single" w:sz="4" w:space="0" w:color="auto"/>
              <w:bottom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w:t>
            </w:r>
          </w:p>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名稱</w:t>
            </w:r>
          </w:p>
        </w:tc>
        <w:tc>
          <w:tcPr>
            <w:tcW w:w="842"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935"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 xml:space="preserve">法  </w:t>
            </w:r>
            <w:proofErr w:type="gramStart"/>
            <w:r w:rsidRPr="00E144D6">
              <w:rPr>
                <w:rFonts w:ascii="標楷體" w:eastAsia="標楷體" w:hAnsi="標楷體" w:hint="eastAsia"/>
                <w:sz w:val="20"/>
                <w:szCs w:val="20"/>
              </w:rPr>
              <w:t>規</w:t>
            </w:r>
            <w:proofErr w:type="gramEnd"/>
          </w:p>
        </w:tc>
        <w:tc>
          <w:tcPr>
            <w:tcW w:w="1833"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相關罰責</w:t>
            </w:r>
          </w:p>
        </w:tc>
      </w:tr>
      <w:tr w:rsidR="00CE08FE" w:rsidRPr="00E144D6">
        <w:tblPrEx>
          <w:tblCellMar>
            <w:top w:w="0" w:type="dxa"/>
            <w:bottom w:w="0" w:type="dxa"/>
          </w:tblCellMar>
        </w:tblPrEx>
        <w:tc>
          <w:tcPr>
            <w:tcW w:w="390" w:type="pct"/>
            <w:vMerge w:val="restar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政治獻金法</w:t>
            </w:r>
          </w:p>
        </w:tc>
        <w:tc>
          <w:tcPr>
            <w:tcW w:w="842" w:type="pc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第6條、第28條</w:t>
            </w:r>
          </w:p>
        </w:tc>
        <w:tc>
          <w:tcPr>
            <w:tcW w:w="1935" w:type="pct"/>
            <w:tcBorders>
              <w:top w:val="single" w:sz="4" w:space="0" w:color="auto"/>
            </w:tcBorders>
          </w:tcPr>
          <w:p w:rsidR="00CE08FE" w:rsidRPr="00E144D6" w:rsidRDefault="00CE08FE" w:rsidP="00E144D6">
            <w:p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任何人不得利用職務上之權力、</w:t>
            </w:r>
            <w:proofErr w:type="gramStart"/>
            <w:r w:rsidRPr="00E144D6">
              <w:rPr>
                <w:rFonts w:ascii="標楷體" w:eastAsia="標楷體" w:hAnsi="標楷體" w:hint="eastAsia"/>
                <w:sz w:val="20"/>
                <w:szCs w:val="20"/>
              </w:rPr>
              <w:t>僱</w:t>
            </w:r>
            <w:proofErr w:type="gramEnd"/>
            <w:r w:rsidRPr="00E144D6">
              <w:rPr>
                <w:rFonts w:ascii="標楷體" w:eastAsia="標楷體" w:hAnsi="標楷體" w:hint="eastAsia"/>
                <w:sz w:val="20"/>
                <w:szCs w:val="20"/>
              </w:rPr>
              <w:t>傭關係或其他生計上之利害，媒介或妨害政治獻金之捐贈。</w:t>
            </w:r>
          </w:p>
        </w:tc>
        <w:tc>
          <w:tcPr>
            <w:tcW w:w="1833" w:type="pct"/>
            <w:tcBorders>
              <w:top w:val="single" w:sz="4" w:space="0" w:color="auto"/>
            </w:tcBorders>
          </w:tcPr>
          <w:p w:rsidR="00CE08FE" w:rsidRPr="00E144D6" w:rsidRDefault="00CE08FE" w:rsidP="00E144D6">
            <w:pPr>
              <w:spacing w:line="240" w:lineRule="exact"/>
              <w:ind w:left="200" w:hangingChars="100" w:hanging="200"/>
              <w:rPr>
                <w:rFonts w:ascii="標楷體" w:eastAsia="標楷體" w:hAnsi="標楷體" w:hint="eastAsia"/>
                <w:sz w:val="20"/>
                <w:szCs w:val="20"/>
              </w:rPr>
            </w:pPr>
            <w:r w:rsidRPr="00E144D6">
              <w:rPr>
                <w:rFonts w:ascii="標楷體" w:eastAsia="標楷體" w:hAnsi="標楷體" w:hint="eastAsia"/>
                <w:sz w:val="20"/>
                <w:szCs w:val="20"/>
              </w:rPr>
              <w:t>1.處新臺幣20萬元以上1百萬元以下罰鍰。</w:t>
            </w:r>
          </w:p>
          <w:p w:rsidR="00CE08FE" w:rsidRPr="00E144D6" w:rsidRDefault="00CE08FE" w:rsidP="00E144D6">
            <w:pPr>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2.公務員違反第6條規定者，處1年以下有期徒刑。</w:t>
            </w:r>
          </w:p>
        </w:tc>
      </w:tr>
      <w:tr w:rsidR="00CE08FE" w:rsidRPr="00E144D6">
        <w:tblPrEx>
          <w:tblCellMar>
            <w:top w:w="0" w:type="dxa"/>
            <w:bottom w:w="0" w:type="dxa"/>
          </w:tblCellMar>
        </w:tblPrEx>
        <w:trPr>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第7條第1項、第29條第2項</w:t>
            </w:r>
          </w:p>
          <w:p w:rsidR="00CE08FE" w:rsidRPr="00E144D6" w:rsidRDefault="00CE08FE" w:rsidP="00E144D6">
            <w:pPr>
              <w:spacing w:line="240" w:lineRule="exact"/>
              <w:rPr>
                <w:rFonts w:ascii="標楷體" w:eastAsia="標楷體" w:hAnsi="標楷體" w:hint="eastAsia"/>
                <w:sz w:val="20"/>
                <w:szCs w:val="20"/>
              </w:rPr>
            </w:pPr>
          </w:p>
        </w:tc>
        <w:tc>
          <w:tcPr>
            <w:tcW w:w="1935" w:type="pct"/>
          </w:tcPr>
          <w:p w:rsidR="00CE08FE" w:rsidRPr="00E144D6" w:rsidRDefault="00CE08FE" w:rsidP="00E14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E144D6">
              <w:rPr>
                <w:rFonts w:ascii="標楷體" w:eastAsia="標楷體" w:hAnsi="標楷體" w:cs="細明體" w:hint="eastAsia"/>
                <w:kern w:val="0"/>
                <w:sz w:val="20"/>
                <w:szCs w:val="20"/>
              </w:rPr>
              <w:t>得捐贈政治獻金者，以下列各款以外之個人、政黨、人民團體及營利事業</w:t>
            </w:r>
            <w:r w:rsidRPr="00E144D6">
              <w:rPr>
                <w:rFonts w:ascii="標楷體" w:eastAsia="標楷體" w:hAnsi="標楷體" w:cs="新細明體" w:hint="eastAsia"/>
                <w:kern w:val="0"/>
                <w:sz w:val="20"/>
                <w:szCs w:val="20"/>
              </w:rPr>
              <w:t>為限</w:t>
            </w:r>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一、公營事業或政府持有資本達20%之民營企業。</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二、與政府機關</w:t>
            </w:r>
            <w:r w:rsidRPr="00E144D6">
              <w:rPr>
                <w:rFonts w:ascii="標楷體" w:eastAsia="標楷體" w:hAnsi="標楷體"/>
                <w:sz w:val="20"/>
                <w:szCs w:val="20"/>
              </w:rPr>
              <w:t xml:space="preserve"> (構) 有巨額採購或重大公共建設投資契約，且在履約期間之廠商。</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三、有累積虧損尚未依規定彌補之營利事業。</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四、</w:t>
            </w:r>
            <w:r w:rsidRPr="00E144D6">
              <w:rPr>
                <w:rFonts w:ascii="標楷體" w:eastAsia="標楷體" w:hAnsi="標楷體"/>
                <w:sz w:val="20"/>
                <w:szCs w:val="20"/>
              </w:rPr>
              <w:t>宗教團體</w:t>
            </w:r>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五、</w:t>
            </w:r>
            <w:proofErr w:type="gramStart"/>
            <w:r w:rsidRPr="00E144D6">
              <w:rPr>
                <w:rFonts w:ascii="標楷體" w:eastAsia="標楷體" w:hAnsi="標楷體" w:hint="eastAsia"/>
                <w:sz w:val="20"/>
                <w:szCs w:val="20"/>
              </w:rPr>
              <w:t>•</w:t>
            </w:r>
            <w:proofErr w:type="gramEnd"/>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十一、</w:t>
            </w:r>
            <w:proofErr w:type="gramStart"/>
            <w:r w:rsidRPr="00E144D6">
              <w:rPr>
                <w:rFonts w:ascii="標楷體" w:eastAsia="標楷體" w:hAnsi="標楷體" w:hint="eastAsia"/>
                <w:sz w:val="20"/>
                <w:szCs w:val="20"/>
              </w:rPr>
              <w:t>•</w:t>
            </w:r>
            <w:proofErr w:type="gramEnd"/>
            <w:r w:rsidRPr="00E144D6">
              <w:rPr>
                <w:rFonts w:ascii="標楷體" w:eastAsia="標楷體" w:hAnsi="標楷體" w:hint="eastAsia"/>
                <w:sz w:val="20"/>
                <w:szCs w:val="20"/>
              </w:rPr>
              <w:t>••。</w:t>
            </w:r>
          </w:p>
        </w:tc>
        <w:tc>
          <w:tcPr>
            <w:tcW w:w="1833" w:type="pct"/>
          </w:tcPr>
          <w:p w:rsidR="00CE08FE" w:rsidRPr="00E144D6" w:rsidRDefault="00CE08FE" w:rsidP="00E144D6">
            <w:pPr>
              <w:pStyle w:val="HTML0"/>
              <w:spacing w:line="240" w:lineRule="exact"/>
              <w:rPr>
                <w:rFonts w:ascii="標楷體" w:eastAsia="標楷體" w:hAnsi="標楷體" w:hint="eastAsia"/>
                <w:sz w:val="20"/>
                <w:szCs w:val="20"/>
              </w:rPr>
            </w:pPr>
            <w:r w:rsidRPr="00E144D6">
              <w:rPr>
                <w:rFonts w:ascii="標楷體" w:eastAsia="標楷體" w:hAnsi="標楷體" w:hint="eastAsia"/>
                <w:sz w:val="20"/>
                <w:szCs w:val="20"/>
              </w:rPr>
              <w:t>違反第7條第1項捐贈政治獻金者，按其捐贈之金額處2倍之罰鍰。但最高不得超過新臺幣1百萬元。</w:t>
            </w:r>
          </w:p>
          <w:p w:rsidR="00CE08FE" w:rsidRPr="00E144D6" w:rsidRDefault="00CE08FE" w:rsidP="00E144D6">
            <w:pPr>
              <w:spacing w:line="240" w:lineRule="exact"/>
              <w:jc w:val="both"/>
              <w:rPr>
                <w:rFonts w:ascii="標楷體" w:eastAsia="標楷體" w:hAnsi="標楷體" w:hint="eastAsia"/>
                <w:sz w:val="20"/>
                <w:szCs w:val="20"/>
              </w:rPr>
            </w:pPr>
          </w:p>
        </w:tc>
      </w:tr>
      <w:tr w:rsidR="00CE08FE" w:rsidRPr="00E144D6">
        <w:tblPrEx>
          <w:tblCellMar>
            <w:top w:w="0" w:type="dxa"/>
            <w:bottom w:w="0" w:type="dxa"/>
          </w:tblCellMar>
        </w:tblPrEx>
        <w:trPr>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第8條、第25條</w:t>
            </w:r>
          </w:p>
        </w:tc>
        <w:tc>
          <w:tcPr>
            <w:tcW w:w="1935" w:type="pct"/>
          </w:tcPr>
          <w:p w:rsidR="00CE08FE" w:rsidRPr="00E144D6" w:rsidRDefault="00CE08FE" w:rsidP="00E14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hint="eastAsia"/>
                <w:kern w:val="0"/>
                <w:sz w:val="20"/>
                <w:szCs w:val="20"/>
              </w:rPr>
            </w:pPr>
            <w:r w:rsidRPr="00E144D6">
              <w:rPr>
                <w:rFonts w:ascii="標楷體" w:eastAsia="標楷體" w:hAnsi="標楷體" w:cs="細明體" w:hint="eastAsia"/>
                <w:kern w:val="0"/>
                <w:sz w:val="20"/>
                <w:szCs w:val="20"/>
              </w:rPr>
              <w:t>政黨、政治團體及擬參選人不得收受前條所定得捐贈者以外對象之政治獻</w:t>
            </w:r>
            <w:r w:rsidRPr="00E144D6">
              <w:rPr>
                <w:rFonts w:ascii="標楷體" w:eastAsia="標楷體" w:hAnsi="標楷體" w:cs="新細明體" w:hint="eastAsia"/>
                <w:kern w:val="0"/>
                <w:sz w:val="20"/>
                <w:szCs w:val="20"/>
              </w:rPr>
              <w:t>金。</w:t>
            </w:r>
          </w:p>
        </w:tc>
        <w:tc>
          <w:tcPr>
            <w:tcW w:w="1833" w:type="pct"/>
          </w:tcPr>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1.擬參選人違反第8條規定收受第7條第1項第7款至第9款規定對象之政治獻金，未依第15條規定之期限繳交受理申報機關辦理繳庫，或違反第13條規定募集政治獻金者，處5年以下有期徒刑；為擬參選人收受或募集政治獻金之代理人、受雇人亦同。</w:t>
            </w:r>
          </w:p>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2.政黨、政治團體之負責人、代表人或代理人、受雇人犯前項之罪者，依前項之規定處罰。</w:t>
            </w:r>
          </w:p>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3.犯第25條第1項、第2項之罪者，其收受之政治獻金，沒收之；如全部或一部不能沒收時，追徵其價額。</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第9條第1項、第29條第1項</w:t>
            </w:r>
          </w:p>
          <w:p w:rsidR="00CE08FE" w:rsidRPr="00E144D6" w:rsidRDefault="00CE08FE" w:rsidP="00E144D6">
            <w:pPr>
              <w:spacing w:line="240" w:lineRule="exact"/>
              <w:rPr>
                <w:rFonts w:ascii="標楷體" w:eastAsia="標楷體" w:hAnsi="標楷體" w:hint="eastAsia"/>
                <w:sz w:val="20"/>
                <w:szCs w:val="20"/>
              </w:rPr>
            </w:pP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政治獻金之捐贈，不得行求或期約不當利益。</w:t>
            </w:r>
          </w:p>
        </w:tc>
        <w:tc>
          <w:tcPr>
            <w:tcW w:w="1833"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捐贈政治獻金者，按其捐贈之金額處2倍之罰鍰。但最高不得超過新臺幣1百萬元。</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第9條第2項、第27條</w:t>
            </w:r>
          </w:p>
          <w:p w:rsidR="00CE08FE" w:rsidRPr="00E144D6" w:rsidRDefault="00CE08FE" w:rsidP="00E144D6">
            <w:pPr>
              <w:spacing w:line="240" w:lineRule="exact"/>
              <w:rPr>
                <w:rFonts w:ascii="標楷體" w:eastAsia="標楷體" w:hAnsi="標楷體" w:hint="eastAsia"/>
                <w:sz w:val="20"/>
                <w:szCs w:val="20"/>
              </w:rPr>
            </w:pP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前項（第9條第1項）之政治獻金，政黨、政治團體及擬參選人亦不得收受。</w:t>
            </w:r>
          </w:p>
        </w:tc>
        <w:tc>
          <w:tcPr>
            <w:tcW w:w="1833" w:type="pct"/>
          </w:tcPr>
          <w:p w:rsidR="00CE08FE" w:rsidRPr="00E144D6" w:rsidRDefault="00CE08FE" w:rsidP="00E144D6">
            <w:pPr>
              <w:numPr>
                <w:ilvl w:val="0"/>
                <w:numId w:val="29"/>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收受政治獻金者，按其收受金額處2倍之罰鍰。</w:t>
            </w:r>
          </w:p>
          <w:p w:rsidR="00CE08FE" w:rsidRPr="00E144D6" w:rsidRDefault="00CE08FE" w:rsidP="00E144D6">
            <w:pPr>
              <w:numPr>
                <w:ilvl w:val="0"/>
                <w:numId w:val="29"/>
              </w:numPr>
              <w:spacing w:line="240" w:lineRule="exact"/>
              <w:jc w:val="both"/>
              <w:rPr>
                <w:rFonts w:ascii="標楷體" w:eastAsia="標楷體" w:hAnsi="標楷體" w:hint="eastAsia"/>
                <w:sz w:val="20"/>
                <w:szCs w:val="20"/>
              </w:rPr>
            </w:pPr>
            <w:r w:rsidRPr="00E144D6">
              <w:rPr>
                <w:rFonts w:ascii="標楷體" w:eastAsia="標楷體" w:hAnsi="標楷體"/>
                <w:sz w:val="20"/>
                <w:szCs w:val="20"/>
              </w:rPr>
              <w:t>違法收受之政治獻金，沒入之；如全部或一部不能沒入時，追徵其價額。</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第14條、第29條第2項</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任何人不得以本人以外之名義捐贈或為超過新臺幣1萬元之匿名捐贈。</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超過新臺幣10萬元現金捐贈，應以支票或經由金融機構匯款為之。</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捐贈政治獻金者，按其捐贈之金額處2倍之罰鍰。</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第17條、第29條第2項</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對同一政黨、政治團體每年捐贈總額，不得超過下列金額：</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一、個人：新臺幣30萬元。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二、營利事業：新臺幣3百萬元。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三、人民團體：新臺幣2百萬元。</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對不同政黨、政治團體每年捐贈總額，合計不得超過下列金額：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一、個人：新臺幣60萬元。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二、營利事業：新臺幣6百萬元。</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三、人民團體：新臺幣4百萬元。</w:t>
            </w:r>
          </w:p>
        </w:tc>
        <w:tc>
          <w:tcPr>
            <w:tcW w:w="1833"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捐贈政治獻金者，按其捐贈之金額處2倍之罰鍰。但最高不得超過新臺幣1百萬元。</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w:t>
            </w:r>
          </w:p>
        </w:tc>
      </w:tr>
      <w:tr w:rsidR="00CE08FE" w:rsidRPr="00E144D6" w:rsidTr="00E144D6">
        <w:tblPrEx>
          <w:tblCellMar>
            <w:top w:w="0" w:type="dxa"/>
            <w:bottom w:w="0" w:type="dxa"/>
          </w:tblCellMar>
        </w:tblPrEx>
        <w:trPr>
          <w:cantSplit/>
          <w:trHeight w:val="2444"/>
        </w:trPr>
        <w:tc>
          <w:tcPr>
            <w:tcW w:w="390" w:type="pct"/>
            <w:vMerge/>
            <w:tcBorders>
              <w:bottom w:val="single" w:sz="4" w:space="0" w:color="auto"/>
            </w:tcBorders>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第18條第1項及第2項、第29條第2項</w:t>
            </w:r>
          </w:p>
        </w:tc>
        <w:tc>
          <w:tcPr>
            <w:tcW w:w="1935" w:type="pct"/>
          </w:tcPr>
          <w:p w:rsidR="00CE08FE" w:rsidRPr="00E144D6" w:rsidRDefault="00CE08FE" w:rsidP="00E144D6">
            <w:pPr>
              <w:spacing w:line="240" w:lineRule="exact"/>
              <w:jc w:val="both"/>
              <w:rPr>
                <w:rFonts w:ascii="標楷體" w:eastAsia="標楷體" w:hAnsi="標楷體"/>
                <w:sz w:val="20"/>
                <w:szCs w:val="20"/>
              </w:rPr>
            </w:pPr>
            <w:r w:rsidRPr="00E144D6">
              <w:rPr>
                <w:rFonts w:ascii="標楷體" w:eastAsia="標楷體" w:hAnsi="標楷體" w:hint="eastAsia"/>
                <w:sz w:val="20"/>
                <w:szCs w:val="20"/>
              </w:rPr>
              <w:t>對同一擬參選人每年捐贈總額，不得超過下列金額：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一、個人：新臺幣10萬元。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二、營利事業：新臺幣1百萬元。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三、人民團體：新臺幣50萬元。</w:t>
            </w:r>
          </w:p>
          <w:p w:rsidR="00CE08FE" w:rsidRPr="00E144D6" w:rsidRDefault="00CE08FE" w:rsidP="00E144D6">
            <w:pPr>
              <w:spacing w:line="240" w:lineRule="exact"/>
              <w:jc w:val="both"/>
              <w:rPr>
                <w:rFonts w:ascii="標楷體" w:eastAsia="標楷體" w:hAnsi="標楷體"/>
                <w:sz w:val="20"/>
                <w:szCs w:val="20"/>
              </w:rPr>
            </w:pPr>
            <w:r w:rsidRPr="00E144D6">
              <w:rPr>
                <w:rFonts w:ascii="標楷體" w:eastAsia="標楷體" w:hAnsi="標楷體" w:hint="eastAsia"/>
                <w:sz w:val="20"/>
                <w:szCs w:val="20"/>
              </w:rPr>
              <w:t>對不同擬參選人每年捐贈總額，合計不得超過下列金額：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一、個人：新臺幣20萬元。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二、營利事業：新臺幣2百萬元。</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三、人民團體：新臺幣1百萬元。</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捐贈政治獻金者，按其捐贈之金額處2倍之罰鍰。但最高不得超過新臺幣1百萬元。</w:t>
            </w:r>
          </w:p>
        </w:tc>
      </w:tr>
      <w:tr w:rsidR="00CE08FE" w:rsidRPr="00E144D6">
        <w:tblPrEx>
          <w:tblCellMar>
            <w:top w:w="0" w:type="dxa"/>
            <w:bottom w:w="0" w:type="dxa"/>
          </w:tblCellMar>
        </w:tblPrEx>
        <w:trPr>
          <w:cantSplit/>
          <w:trHeight w:val="670"/>
        </w:trPr>
        <w:tc>
          <w:tcPr>
            <w:tcW w:w="390" w:type="pct"/>
            <w:vMerge w:val="restar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公職人員利益衝突迴避法</w:t>
            </w: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為促進廉能政治、端正政治風氣，建立公職人員利益衝突迴避之規範，有效遏阻貪污腐化暨不當利益輸送，特制定本法。</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公職人員利益衝突之迴避，除其他法律另有嚴格規定者外，適用本法之規定。</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rsidTr="00E144D6">
        <w:tblPrEx>
          <w:tblCellMar>
            <w:top w:w="0" w:type="dxa"/>
            <w:bottom w:w="0" w:type="dxa"/>
          </w:tblCellMar>
        </w:tblPrEx>
        <w:trPr>
          <w:cantSplit/>
          <w:trHeight w:val="482"/>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本法所稱公職人員，指公職人員財產申報法第2條第1項所定之人員。</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本法所定公職人員之關係人，其範圍如下：</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一、公職人員之配偶或共同生活之家屬。</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二、公職人員之二親等以內親屬。</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三、公職人員或其配偶信託財產之受託人。</w:t>
            </w:r>
          </w:p>
          <w:p w:rsidR="00CE08FE" w:rsidRPr="00E144D6" w:rsidRDefault="00CE08FE" w:rsidP="00E144D6">
            <w:pPr>
              <w:spacing w:line="240" w:lineRule="exact"/>
              <w:ind w:left="400" w:hangingChars="200" w:hanging="400"/>
              <w:rPr>
                <w:rFonts w:ascii="標楷體" w:eastAsia="標楷體" w:hAnsi="標楷體" w:hint="eastAsia"/>
                <w:sz w:val="20"/>
                <w:szCs w:val="20"/>
                <w:u w:val="single"/>
              </w:rPr>
            </w:pPr>
            <w:r w:rsidRPr="00E144D6">
              <w:rPr>
                <w:rFonts w:ascii="標楷體" w:eastAsia="標楷體" w:hAnsi="標楷體" w:hint="eastAsia"/>
                <w:sz w:val="20"/>
                <w:szCs w:val="20"/>
              </w:rPr>
              <w:t>四、公職人員、第1款及第2款所列人員擔任負責人、董事、監察人或經</w:t>
            </w:r>
            <w:r w:rsidRPr="00E144D6">
              <w:rPr>
                <w:rFonts w:ascii="標楷體" w:eastAsia="標楷體" w:hAnsi="標楷體"/>
                <w:sz w:val="20"/>
                <w:szCs w:val="20"/>
              </w:rPr>
              <w:t>理人之營利事業。</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本法所稱利益，包括財產上利益及非財產上利益。</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財產上利益如下：</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一、動產、不動產。</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二、現金、存款、外幣、有價證券。</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三、債權或其他財產上權利。</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四、其他具有經濟價值或得以金錢交易取得之利益。</w:t>
            </w:r>
          </w:p>
          <w:p w:rsidR="00CE08FE" w:rsidRPr="00E144D6" w:rsidRDefault="00CE08FE" w:rsidP="00E144D6">
            <w:pPr>
              <w:spacing w:line="240" w:lineRule="exact"/>
              <w:rPr>
                <w:rFonts w:ascii="標楷體" w:eastAsia="標楷體" w:hAnsi="標楷體" w:hint="eastAsia"/>
                <w:sz w:val="20"/>
                <w:szCs w:val="20"/>
                <w:u w:val="single"/>
              </w:rPr>
            </w:pPr>
            <w:r w:rsidRPr="00E144D6">
              <w:rPr>
                <w:rFonts w:ascii="標楷體" w:eastAsia="標楷體" w:hAnsi="標楷體" w:hint="eastAsia"/>
                <w:sz w:val="20"/>
                <w:szCs w:val="20"/>
              </w:rPr>
              <w:t>非財產上利益，指有利公職人員或其關係人於政府機關、公立學校、公營事業機構</w:t>
            </w:r>
            <w:r w:rsidRPr="00E144D6">
              <w:rPr>
                <w:rFonts w:ascii="標楷體" w:eastAsia="標楷體" w:hAnsi="標楷體"/>
                <w:sz w:val="20"/>
                <w:szCs w:val="20"/>
              </w:rPr>
              <w:t xml:space="preserve"> (以下簡稱機關) 之任用、</w:t>
            </w:r>
            <w:proofErr w:type="gramStart"/>
            <w:r w:rsidRPr="00E144D6">
              <w:rPr>
                <w:rFonts w:ascii="標楷體" w:eastAsia="標楷體" w:hAnsi="標楷體"/>
                <w:sz w:val="20"/>
                <w:szCs w:val="20"/>
              </w:rPr>
              <w:t>陞</w:t>
            </w:r>
            <w:proofErr w:type="gramEnd"/>
            <w:r w:rsidRPr="00E144D6">
              <w:rPr>
                <w:rFonts w:ascii="標楷體" w:eastAsia="標楷體" w:hAnsi="標楷體"/>
                <w:sz w:val="20"/>
                <w:szCs w:val="20"/>
              </w:rPr>
              <w:t>遷、調動及其他人事措施。</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本法所稱利益衝突，指公職人員執行職務時，得因其作為或不作為，直接或間接使本人或其關係人獲取利益者。</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rsidTr="00E144D6">
        <w:tblPrEx>
          <w:tblCellMar>
            <w:top w:w="0" w:type="dxa"/>
            <w:bottom w:w="0" w:type="dxa"/>
          </w:tblCellMar>
        </w:tblPrEx>
        <w:trPr>
          <w:cantSplit/>
          <w:trHeight w:val="367"/>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公職人員知有利益衝突者，應即自行迴避。</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第7條、第14條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公職人員不得假借職務上之權力、機會或方法，</w:t>
            </w:r>
            <w:proofErr w:type="gramStart"/>
            <w:r w:rsidRPr="00E144D6">
              <w:rPr>
                <w:rFonts w:ascii="標楷體" w:eastAsia="標楷體" w:hAnsi="標楷體" w:hint="eastAsia"/>
                <w:sz w:val="20"/>
                <w:szCs w:val="20"/>
              </w:rPr>
              <w:t>圖其本人</w:t>
            </w:r>
            <w:proofErr w:type="gramEnd"/>
            <w:r w:rsidRPr="00E144D6">
              <w:rPr>
                <w:rFonts w:ascii="標楷體" w:eastAsia="標楷體" w:hAnsi="標楷體" w:hint="eastAsia"/>
                <w:sz w:val="20"/>
                <w:szCs w:val="20"/>
              </w:rPr>
              <w:t>或關係人之利益。</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處新臺幣1百萬元以上5百萬元以下罰鍰；所得財產上利益，應予追繳。</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第8條、第14條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公職人員之關係人不得向機關有關人員關說、請託或以其他不當方法，</w:t>
            </w:r>
            <w:proofErr w:type="gramStart"/>
            <w:r w:rsidRPr="00E144D6">
              <w:rPr>
                <w:rFonts w:ascii="標楷體" w:eastAsia="標楷體" w:hAnsi="標楷體" w:hint="eastAsia"/>
                <w:sz w:val="20"/>
                <w:szCs w:val="20"/>
              </w:rPr>
              <w:t>圖其本人</w:t>
            </w:r>
            <w:proofErr w:type="gramEnd"/>
            <w:r w:rsidRPr="00E144D6">
              <w:rPr>
                <w:rFonts w:ascii="標楷體" w:eastAsia="標楷體" w:hAnsi="標楷體" w:hint="eastAsia"/>
                <w:sz w:val="20"/>
                <w:szCs w:val="20"/>
              </w:rPr>
              <w:t>或公職人員之利益。</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處新臺幣1百萬元以上5百萬元以下罰鍰；所得財產上利益，應予追繳。</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第9條、第15條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公職人員或其關係人，不得與公職人員服務之機關或受其監督之機關為買賣、租賃、承攬等交易行為。</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處該交易行為金額1倍至3倍之罰鍰。</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第10條第1項、第16條、第18條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公職人員知有迴避義務者，應依下列規定辦理：</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一、民意代表，不得參與個人利益相關議案之審議及表決。</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二、其他公職人員應停止執行該項職務，並由職務代理人執行之。</w:t>
            </w:r>
          </w:p>
        </w:tc>
        <w:tc>
          <w:tcPr>
            <w:tcW w:w="1833" w:type="pct"/>
          </w:tcPr>
          <w:p w:rsidR="00CE08FE" w:rsidRPr="00E144D6" w:rsidRDefault="00CE08FE" w:rsidP="00E144D6">
            <w:pPr>
              <w:numPr>
                <w:ilvl w:val="0"/>
                <w:numId w:val="28"/>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w:t>
            </w:r>
          </w:p>
          <w:p w:rsidR="00CE08FE" w:rsidRPr="00E144D6" w:rsidRDefault="00CE08FE" w:rsidP="00E144D6">
            <w:pPr>
              <w:numPr>
                <w:ilvl w:val="0"/>
                <w:numId w:val="28"/>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第10條第4項、第17條、第18條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服務機關或上級機關知有應自行迴避而未迴避情事者，</w:t>
            </w:r>
            <w:proofErr w:type="gramStart"/>
            <w:r w:rsidRPr="00E144D6">
              <w:rPr>
                <w:rFonts w:ascii="標楷體" w:eastAsia="標楷體" w:hAnsi="標楷體" w:hint="eastAsia"/>
                <w:sz w:val="20"/>
                <w:szCs w:val="20"/>
              </w:rPr>
              <w:t>應命該</w:t>
            </w:r>
            <w:proofErr w:type="gramEnd"/>
            <w:r w:rsidRPr="00E144D6">
              <w:rPr>
                <w:rFonts w:ascii="標楷體" w:eastAsia="標楷體" w:hAnsi="標楷體" w:hint="eastAsia"/>
                <w:sz w:val="20"/>
                <w:szCs w:val="20"/>
              </w:rPr>
              <w:t>公職人員迴避。</w:t>
            </w:r>
          </w:p>
        </w:tc>
        <w:tc>
          <w:tcPr>
            <w:tcW w:w="1833" w:type="pct"/>
          </w:tcPr>
          <w:p w:rsidR="00CE08FE" w:rsidRPr="00E144D6" w:rsidRDefault="00CE08FE" w:rsidP="00E144D6">
            <w:pPr>
              <w:numPr>
                <w:ilvl w:val="0"/>
                <w:numId w:val="26"/>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處新臺幣150萬元以上750萬元以下罰鍰。</w:t>
            </w:r>
          </w:p>
          <w:p w:rsidR="00CE08FE" w:rsidRPr="00E144D6" w:rsidRDefault="00CE08FE" w:rsidP="00E144D6">
            <w:pPr>
              <w:numPr>
                <w:ilvl w:val="0"/>
                <w:numId w:val="26"/>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民意代表以外之公職人員於自行迴避前，對該項事務所為之同意、否決、決定、建議、提案、調查等</w:t>
            </w:r>
            <w:proofErr w:type="gramStart"/>
            <w:r w:rsidRPr="00E144D6">
              <w:rPr>
                <w:rFonts w:ascii="標楷體" w:eastAsia="標楷體" w:hAnsi="標楷體" w:hint="eastAsia"/>
                <w:sz w:val="20"/>
                <w:szCs w:val="20"/>
              </w:rPr>
              <w:t>行為均屬無效</w:t>
            </w:r>
            <w:proofErr w:type="gramEnd"/>
            <w:r w:rsidRPr="00E144D6">
              <w:rPr>
                <w:rFonts w:ascii="標楷體" w:eastAsia="標楷體" w:hAnsi="標楷體" w:hint="eastAsia"/>
                <w:sz w:val="20"/>
                <w:szCs w:val="20"/>
              </w:rPr>
              <w:t>，應由其職務代理人重新為之。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公職人員有應自行迴避之情事而</w:t>
            </w:r>
            <w:proofErr w:type="gramStart"/>
            <w:r w:rsidRPr="00E144D6">
              <w:rPr>
                <w:rFonts w:ascii="標楷體" w:eastAsia="標楷體" w:hAnsi="標楷體" w:hint="eastAsia"/>
                <w:sz w:val="20"/>
                <w:szCs w:val="20"/>
              </w:rPr>
              <w:t>不</w:t>
            </w:r>
            <w:proofErr w:type="gramEnd"/>
            <w:r w:rsidRPr="00E144D6">
              <w:rPr>
                <w:rFonts w:ascii="標楷體" w:eastAsia="標楷體" w:hAnsi="標楷體" w:hint="eastAsia"/>
                <w:sz w:val="20"/>
                <w:szCs w:val="20"/>
              </w:rPr>
              <w:t>迴避者，利害關係人得向下列機關申請</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其迴避：</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一、應迴避者為民意代表時，向各該民意機關為之。</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二、應迴避者為其他公職人員時，向該公職人員服務機關為之；如為機關</w:t>
            </w:r>
            <w:r w:rsidRPr="00E144D6">
              <w:rPr>
                <w:rFonts w:ascii="標楷體" w:eastAsia="標楷體" w:hAnsi="標楷體"/>
                <w:sz w:val="20"/>
                <w:szCs w:val="20"/>
              </w:rPr>
              <w:t xml:space="preserve">    首長時，向上級機關為之；無上級機關者，向監察院為之。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第13條、第17條、第18條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前條之申請，經調查屬實後，</w:t>
            </w:r>
            <w:proofErr w:type="gramStart"/>
            <w:r w:rsidRPr="00E144D6">
              <w:rPr>
                <w:rFonts w:ascii="標楷體" w:eastAsia="標楷體" w:hAnsi="標楷體" w:hint="eastAsia"/>
                <w:sz w:val="20"/>
                <w:szCs w:val="20"/>
              </w:rPr>
              <w:t>應命被</w:t>
            </w:r>
            <w:proofErr w:type="gramEnd"/>
            <w:r w:rsidRPr="00E144D6">
              <w:rPr>
                <w:rFonts w:ascii="標楷體" w:eastAsia="標楷體" w:hAnsi="標楷體" w:hint="eastAsia"/>
                <w:sz w:val="20"/>
                <w:szCs w:val="20"/>
              </w:rPr>
              <w:t>申請迴避之公職人員迴避，該公職人員不得拒絕。</w:t>
            </w:r>
          </w:p>
        </w:tc>
        <w:tc>
          <w:tcPr>
            <w:tcW w:w="1833" w:type="pct"/>
          </w:tcPr>
          <w:p w:rsidR="00CE08FE" w:rsidRPr="00E144D6" w:rsidRDefault="00CE08FE" w:rsidP="00E144D6">
            <w:pPr>
              <w:numPr>
                <w:ilvl w:val="0"/>
                <w:numId w:val="27"/>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處新臺幣150萬元以上750萬元以下罰鍰。</w:t>
            </w:r>
          </w:p>
          <w:p w:rsidR="00CE08FE" w:rsidRPr="00E144D6" w:rsidRDefault="00CE08FE" w:rsidP="00E144D6">
            <w:pPr>
              <w:numPr>
                <w:ilvl w:val="0"/>
                <w:numId w:val="27"/>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違反本法規定而涉及其他法律責任者，依有關法律處理之。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bl>
    <w:p w:rsidR="00D33F16" w:rsidRPr="00E144D6" w:rsidRDefault="00D33F16" w:rsidP="00E144D6">
      <w:pPr>
        <w:spacing w:line="240" w:lineRule="exact"/>
        <w:rPr>
          <w:rFonts w:ascii="標楷體" w:eastAsia="標楷體" w:hAnsi="標楷體"/>
          <w:sz w:val="20"/>
          <w:szCs w:val="20"/>
        </w:rPr>
      </w:pPr>
    </w:p>
    <w:p w:rsidR="00D33F16" w:rsidRPr="00E144D6" w:rsidRDefault="00D33F16" w:rsidP="00E144D6">
      <w:pPr>
        <w:spacing w:line="360" w:lineRule="exact"/>
        <w:rPr>
          <w:rFonts w:ascii="標楷體" w:eastAsia="標楷體" w:hAnsi="標楷體" w:hint="eastAsia"/>
          <w:b/>
          <w:bCs/>
          <w:sz w:val="28"/>
          <w:szCs w:val="28"/>
        </w:rPr>
      </w:pPr>
      <w:r w:rsidRPr="00E144D6">
        <w:rPr>
          <w:rFonts w:ascii="標楷體" w:eastAsia="標楷體" w:hAnsi="標楷體"/>
          <w:sz w:val="20"/>
          <w:szCs w:val="20"/>
        </w:rPr>
        <w:br w:type="page"/>
      </w:r>
      <w:r w:rsidRPr="00E144D6">
        <w:rPr>
          <w:rFonts w:ascii="標楷體" w:eastAsia="標楷體" w:hAnsi="標楷體" w:hint="eastAsia"/>
          <w:b/>
          <w:bCs/>
          <w:sz w:val="28"/>
          <w:szCs w:val="28"/>
        </w:rPr>
        <w:lastRenderedPageBreak/>
        <w:t>二、工程施工之廠商</w:t>
      </w:r>
    </w:p>
    <w:p w:rsidR="00D33F16" w:rsidRPr="00E144D6" w:rsidRDefault="00D33F16" w:rsidP="00E144D6">
      <w:pPr>
        <w:spacing w:line="320" w:lineRule="exact"/>
        <w:rPr>
          <w:rFonts w:ascii="標楷體" w:eastAsia="標楷體" w:hAnsi="標楷體"/>
        </w:rPr>
      </w:pPr>
      <w:r w:rsidRPr="00E144D6">
        <w:rPr>
          <w:rFonts w:ascii="標楷體" w:eastAsia="標楷體" w:hAnsi="標楷體" w:hint="eastAsia"/>
        </w:rPr>
        <w:t>（一）辦理公共工程採購可能涉及之相關刑事責任之法規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8"/>
        <w:gridCol w:w="1680"/>
        <w:gridCol w:w="3861"/>
        <w:gridCol w:w="3658"/>
      </w:tblGrid>
      <w:tr w:rsidR="00D33F16" w:rsidRPr="00E144D6">
        <w:tblPrEx>
          <w:tblCellMar>
            <w:top w:w="0" w:type="dxa"/>
            <w:bottom w:w="0" w:type="dxa"/>
          </w:tblCellMar>
        </w:tblPrEx>
        <w:trPr>
          <w:tblHeader/>
        </w:trPr>
        <w:tc>
          <w:tcPr>
            <w:tcW w:w="390" w:type="pct"/>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刑事法規名稱</w:t>
            </w:r>
          </w:p>
        </w:tc>
        <w:tc>
          <w:tcPr>
            <w:tcW w:w="842" w:type="pct"/>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935" w:type="pct"/>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833" w:type="pct"/>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相關刑罰</w:t>
            </w:r>
          </w:p>
        </w:tc>
      </w:tr>
      <w:tr w:rsidR="00D33F16" w:rsidRPr="00E144D6">
        <w:tblPrEx>
          <w:tblCellMar>
            <w:top w:w="0" w:type="dxa"/>
            <w:bottom w:w="0" w:type="dxa"/>
          </w:tblCellMar>
        </w:tblPrEx>
        <w:trPr>
          <w:cantSplit/>
          <w:trHeight w:val="670"/>
          <w:tblHeader/>
        </w:trPr>
        <w:tc>
          <w:tcPr>
            <w:tcW w:w="390"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第87條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圍標之處罰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意圖使廠商不為投標、違反其本意投標，或使得標廠商放棄得標、得標後</w:t>
            </w:r>
            <w:proofErr w:type="gramStart"/>
            <w:r w:rsidRPr="00E144D6">
              <w:rPr>
                <w:rFonts w:ascii="標楷體" w:eastAsia="標楷體" w:hAnsi="標楷體" w:hint="eastAsia"/>
                <w:sz w:val="20"/>
                <w:szCs w:val="20"/>
              </w:rPr>
              <w:t>轉包或分</w:t>
            </w:r>
            <w:proofErr w:type="gramEnd"/>
            <w:r w:rsidRPr="00E144D6">
              <w:rPr>
                <w:rFonts w:ascii="標楷體" w:eastAsia="標楷體" w:hAnsi="標楷體" w:hint="eastAsia"/>
                <w:sz w:val="20"/>
                <w:szCs w:val="20"/>
              </w:rPr>
              <w:t>包，而施強暴、脅迫、藥劑或催眠術者。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科新臺幣3百萬元以下罰金。未遂犯罰之。</w:t>
            </w:r>
          </w:p>
        </w:tc>
      </w:tr>
      <w:tr w:rsidR="00D33F16" w:rsidRPr="00E144D6">
        <w:tblPrEx>
          <w:tblCellMar>
            <w:top w:w="0" w:type="dxa"/>
            <w:bottom w:w="0" w:type="dxa"/>
          </w:tblCellMar>
        </w:tblPrEx>
        <w:trPr>
          <w:cantSplit/>
          <w:trHeight w:val="670"/>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犯前項之罪，因而致人於死或致重傷者。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tblPrEx>
          <w:tblCellMar>
            <w:top w:w="0" w:type="dxa"/>
            <w:bottom w:w="0" w:type="dxa"/>
          </w:tblCellMar>
        </w:tblPrEx>
        <w:trPr>
          <w:cantSplit/>
          <w:trHeight w:val="783"/>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以詐術或其他非法之方法，使廠商無法投標或開標發生不正確結果者。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tblPrEx>
          <w:tblCellMar>
            <w:top w:w="0" w:type="dxa"/>
            <w:bottom w:w="0" w:type="dxa"/>
          </w:tblCellMar>
        </w:tblPrEx>
        <w:trPr>
          <w:cantSplit/>
          <w:trHeight w:val="537"/>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意圖影響決標價格或獲取不當利益，而以契約、協議或其他方式之合意，使廠商不為投標或不為價格之競爭者。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處6月以上5年以下有期徒刑，得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tblPrEx>
          <w:tblCellMar>
            <w:top w:w="0" w:type="dxa"/>
            <w:bottom w:w="0" w:type="dxa"/>
          </w:tblCellMar>
        </w:tblPrEx>
        <w:trPr>
          <w:cantSplit/>
          <w:trHeight w:val="688"/>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Borders>
              <w:top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意圖影響採購結果或獲取不當利益，而借用他人名義或證件投標者。容許他人借用本人名義或證件參加投標者。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w:t>
            </w:r>
          </w:p>
        </w:tc>
      </w:tr>
      <w:tr w:rsidR="00D33F16" w:rsidRPr="00E144D6">
        <w:tblPrEx>
          <w:tblCellMar>
            <w:top w:w="0" w:type="dxa"/>
            <w:bottom w:w="0" w:type="dxa"/>
          </w:tblCellMar>
        </w:tblPrEx>
        <w:trPr>
          <w:cantSplit/>
          <w:trHeight w:val="555"/>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強制採購決定之處罰</w:t>
            </w:r>
          </w:p>
        </w:tc>
        <w:tc>
          <w:tcPr>
            <w:tcW w:w="1935" w:type="pct"/>
          </w:tcPr>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意圖使機關規劃、設計、承辦、監辦採購人員或受機關委託提供採購規劃、設計或專案管理或代辦採購廠商之人員，就與採購有關事項，不為決定或為違反其本意之決定，而施強暴、脅迫者。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科新臺幣3百萬元以下罰金。未遂犯罰之。</w:t>
            </w:r>
          </w:p>
        </w:tc>
      </w:tr>
      <w:tr w:rsidR="00D33F16" w:rsidRPr="00E144D6" w:rsidTr="00E144D6">
        <w:tblPrEx>
          <w:tblCellMar>
            <w:top w:w="0" w:type="dxa"/>
            <w:bottom w:w="0" w:type="dxa"/>
          </w:tblCellMar>
        </w:tblPrEx>
        <w:trPr>
          <w:cantSplit/>
          <w:trHeight w:val="961"/>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rsidTr="00E144D6">
        <w:tblPrEx>
          <w:tblCellMar>
            <w:top w:w="0" w:type="dxa"/>
            <w:bottom w:w="0" w:type="dxa"/>
          </w:tblCellMar>
        </w:tblPrEx>
        <w:trPr>
          <w:cantSplit/>
          <w:trHeight w:val="1273"/>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第91條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強制洩密之處罰</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意圖使機關規劃、設計、承辦、監辦採購人員或受機關委託提供採購規劃、設計或專案管理或代辦採購廠商之人員，洩漏或交付關於採購應秘密之文書、圖畫、消息、物品或其他資訊，而施強暴、脅迫者。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科新臺幣1百萬元以下罰金。未遂犯罰之。</w:t>
            </w:r>
          </w:p>
        </w:tc>
      </w:tr>
      <w:tr w:rsidR="00D33F16" w:rsidRPr="00E144D6">
        <w:tblPrEx>
          <w:tblCellMar>
            <w:top w:w="0" w:type="dxa"/>
            <w:bottom w:w="0" w:type="dxa"/>
          </w:tblCellMar>
        </w:tblPrEx>
        <w:trPr>
          <w:cantSplit/>
          <w:trHeight w:val="303"/>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vMerge/>
          </w:tcPr>
          <w:p w:rsidR="00D33F16" w:rsidRPr="00E144D6" w:rsidRDefault="00D33F16" w:rsidP="00E144D6">
            <w:pPr>
              <w:spacing w:line="240" w:lineRule="exact"/>
              <w:rPr>
                <w:rFonts w:ascii="標楷體" w:eastAsia="標楷體" w:hAnsi="標楷體" w:hint="eastAsia"/>
                <w:sz w:val="20"/>
                <w:szCs w:val="20"/>
              </w:rPr>
            </w:pP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犯前項之罪，因而致人於死或重傷者。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致人於死者，處無期徒刑或7年以上有期徒刑；致重傷者，處3年以上10年以下有期徒刑，各得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科新臺幣3百萬元以下罰金。</w:t>
            </w:r>
          </w:p>
        </w:tc>
      </w:tr>
      <w:tr w:rsidR="00D33F16" w:rsidRPr="00E144D6" w:rsidTr="00E144D6">
        <w:tblPrEx>
          <w:tblCellMar>
            <w:top w:w="0" w:type="dxa"/>
            <w:bottom w:w="0" w:type="dxa"/>
          </w:tblCellMar>
        </w:tblPrEx>
        <w:trPr>
          <w:cantSplit/>
          <w:trHeight w:val="994"/>
          <w:tblHeader/>
        </w:trPr>
        <w:tc>
          <w:tcPr>
            <w:tcW w:w="390"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842"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第92條</w:t>
            </w:r>
          </w:p>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法人之處罰</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第122條第3項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廠商之代表人、代理人、受雇人或其他從業人員，因執行業務犯本法之罪者。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除依規定處罰其行為人外，對該</w:t>
            </w:r>
            <w:proofErr w:type="gramStart"/>
            <w:r w:rsidRPr="00E144D6">
              <w:rPr>
                <w:rFonts w:ascii="標楷體" w:eastAsia="標楷體" w:hAnsi="標楷體" w:hint="eastAsia"/>
                <w:sz w:val="20"/>
                <w:szCs w:val="20"/>
              </w:rPr>
              <w:t>廠商亦科以</w:t>
            </w:r>
            <w:proofErr w:type="gramEnd"/>
            <w:r w:rsidRPr="00E144D6">
              <w:rPr>
                <w:rFonts w:ascii="標楷體" w:eastAsia="標楷體" w:hAnsi="標楷體" w:hint="eastAsia"/>
                <w:sz w:val="20"/>
                <w:szCs w:val="20"/>
              </w:rPr>
              <w:t>該條之罰金。</w:t>
            </w:r>
          </w:p>
        </w:tc>
      </w:tr>
      <w:tr w:rsidR="00D33F16" w:rsidRPr="00E144D6" w:rsidTr="00E144D6">
        <w:tblPrEx>
          <w:tblCellMar>
            <w:top w:w="0" w:type="dxa"/>
            <w:bottom w:w="0" w:type="dxa"/>
          </w:tblCellMar>
        </w:tblPrEx>
        <w:trPr>
          <w:cantSplit/>
          <w:trHeight w:val="554"/>
          <w:tblHeader/>
        </w:trPr>
        <w:tc>
          <w:tcPr>
            <w:tcW w:w="390" w:type="pct"/>
            <w:vMerge w:val="restart"/>
            <w:tcBorders>
              <w:top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刑法</w:t>
            </w: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第122條第3項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對於公務員關於違背職務之行為，行求、期約或交付賄賂或其他不正利益者。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科3千元以下罰金。</w:t>
            </w:r>
          </w:p>
        </w:tc>
      </w:tr>
      <w:tr w:rsidR="00D33F16" w:rsidRPr="00E144D6" w:rsidTr="00E144D6">
        <w:tblPrEx>
          <w:tblCellMar>
            <w:top w:w="0" w:type="dxa"/>
            <w:bottom w:w="0" w:type="dxa"/>
          </w:tblCellMar>
        </w:tblPrEx>
        <w:trPr>
          <w:cantSplit/>
          <w:trHeight w:val="562"/>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第193條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違背建築術成規罪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承攬工程人或監工人於營造或拆卸建築物時，違背建築術成規，致生公共危險者。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處3年以下有期徒刑、拘役或3千元以下罰金。</w:t>
            </w:r>
          </w:p>
        </w:tc>
      </w:tr>
      <w:tr w:rsidR="00D33F16" w:rsidRPr="00E144D6" w:rsidTr="00E144D6">
        <w:tblPrEx>
          <w:tblCellMar>
            <w:top w:w="0" w:type="dxa"/>
            <w:bottom w:w="0" w:type="dxa"/>
          </w:tblCellMar>
        </w:tblPrEx>
        <w:trPr>
          <w:cantSplit/>
          <w:trHeight w:val="557"/>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偽、</w:t>
            </w:r>
            <w:proofErr w:type="gramStart"/>
            <w:r w:rsidRPr="00E144D6">
              <w:rPr>
                <w:rFonts w:ascii="標楷體" w:eastAsia="標楷體" w:hAnsi="標楷體" w:hint="eastAsia"/>
                <w:sz w:val="20"/>
                <w:szCs w:val="20"/>
              </w:rPr>
              <w:t>變造私文書</w:t>
            </w:r>
            <w:proofErr w:type="gramEnd"/>
            <w:r w:rsidRPr="00E144D6">
              <w:rPr>
                <w:rFonts w:ascii="標楷體" w:eastAsia="標楷體" w:hAnsi="標楷體" w:hint="eastAsia"/>
                <w:sz w:val="20"/>
                <w:szCs w:val="20"/>
              </w:rPr>
              <w:t>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偽造、</w:t>
            </w:r>
            <w:proofErr w:type="gramStart"/>
            <w:r w:rsidRPr="00E144D6">
              <w:rPr>
                <w:rFonts w:ascii="標楷體" w:eastAsia="標楷體" w:hAnsi="標楷體" w:hint="eastAsia"/>
                <w:sz w:val="20"/>
                <w:szCs w:val="20"/>
              </w:rPr>
              <w:t>變造私文書</w:t>
            </w:r>
            <w:proofErr w:type="gramEnd"/>
            <w:r w:rsidRPr="00E144D6">
              <w:rPr>
                <w:rFonts w:ascii="標楷體" w:eastAsia="標楷體" w:hAnsi="標楷體" w:hint="eastAsia"/>
                <w:sz w:val="20"/>
                <w:szCs w:val="20"/>
              </w:rPr>
              <w:t>，足以生損害於公眾或他人者。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w:t>
            </w:r>
          </w:p>
        </w:tc>
      </w:tr>
      <w:tr w:rsidR="00D33F16" w:rsidRPr="00E144D6">
        <w:tblPrEx>
          <w:tblCellMar>
            <w:top w:w="0" w:type="dxa"/>
            <w:bottom w:w="0" w:type="dxa"/>
          </w:tblCellMar>
        </w:tblPrEx>
        <w:trPr>
          <w:cantSplit/>
          <w:trHeight w:val="658"/>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第214條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使公務員登載</w:t>
            </w:r>
            <w:proofErr w:type="gramStart"/>
            <w:r w:rsidRPr="00E144D6">
              <w:rPr>
                <w:rFonts w:ascii="標楷體" w:eastAsia="標楷體" w:hAnsi="標楷體" w:hint="eastAsia"/>
                <w:sz w:val="20"/>
                <w:szCs w:val="20"/>
              </w:rPr>
              <w:t>不實罪</w:t>
            </w:r>
            <w:proofErr w:type="gramEnd"/>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明知為不實之事項，而使公務員登載於職務上所掌之公文書，足以生損害於公眾或他人者。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處3年以下有期徒刑、拘役或5百元以下罰金。</w:t>
            </w:r>
          </w:p>
        </w:tc>
      </w:tr>
      <w:tr w:rsidR="00D33F16" w:rsidRPr="00E144D6">
        <w:tblPrEx>
          <w:tblCellMar>
            <w:top w:w="0" w:type="dxa"/>
            <w:bottom w:w="0" w:type="dxa"/>
          </w:tblCellMar>
        </w:tblPrEx>
        <w:trPr>
          <w:cantSplit/>
          <w:tblHeader/>
        </w:trPr>
        <w:tc>
          <w:tcPr>
            <w:tcW w:w="390" w:type="pct"/>
            <w:vMerge/>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業務上文書登載</w:t>
            </w:r>
            <w:proofErr w:type="gramStart"/>
            <w:r w:rsidRPr="00E144D6">
              <w:rPr>
                <w:rFonts w:ascii="標楷體" w:eastAsia="標楷體" w:hAnsi="標楷體" w:hint="eastAsia"/>
                <w:sz w:val="20"/>
                <w:szCs w:val="20"/>
              </w:rPr>
              <w:t>不實罪</w:t>
            </w:r>
            <w:proofErr w:type="gramEnd"/>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從事業務之人，明知為不實之事項，而登載於其業務上作成之文書，足以生損害於公眾或他人者。</w:t>
            </w:r>
          </w:p>
        </w:tc>
        <w:tc>
          <w:tcPr>
            <w:tcW w:w="1833"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處3年以下有期徒刑、拘役或5百元以下罰金。</w:t>
            </w:r>
          </w:p>
        </w:tc>
      </w:tr>
      <w:tr w:rsidR="00D33F16" w:rsidRPr="00E144D6">
        <w:tblPrEx>
          <w:tblCellMar>
            <w:top w:w="0" w:type="dxa"/>
            <w:bottom w:w="0" w:type="dxa"/>
          </w:tblCellMar>
        </w:tblPrEx>
        <w:trPr>
          <w:cantSplit/>
          <w:tblHeader/>
        </w:trPr>
        <w:tc>
          <w:tcPr>
            <w:tcW w:w="390"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842"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第342條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背信罪</w:t>
            </w:r>
          </w:p>
        </w:tc>
        <w:tc>
          <w:tcPr>
            <w:tcW w:w="193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為他人處理事務，意圖為</w:t>
            </w:r>
            <w:proofErr w:type="gramStart"/>
            <w:r w:rsidRPr="00E144D6">
              <w:rPr>
                <w:rFonts w:ascii="標楷體" w:eastAsia="標楷體" w:hAnsi="標楷體" w:hint="eastAsia"/>
                <w:sz w:val="20"/>
                <w:szCs w:val="20"/>
              </w:rPr>
              <w:t>自已</w:t>
            </w:r>
            <w:proofErr w:type="gramEnd"/>
            <w:r w:rsidRPr="00E144D6">
              <w:rPr>
                <w:rFonts w:ascii="標楷體" w:eastAsia="標楷體" w:hAnsi="標楷體" w:hint="eastAsia"/>
                <w:sz w:val="20"/>
                <w:szCs w:val="20"/>
              </w:rPr>
              <w:t>或第三人不法之利益，或損害本人之利益，而為違背其任務之行為，致生損害於本人之財產或其他利益者。</w:t>
            </w:r>
          </w:p>
        </w:tc>
        <w:tc>
          <w:tcPr>
            <w:tcW w:w="1833"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處5年以下有期徒刑、拘役或科或</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科1千元以下罰金。未遂犯罰之。</w:t>
            </w:r>
          </w:p>
        </w:tc>
      </w:tr>
      <w:tr w:rsidR="00000EB4" w:rsidRPr="00E144D6" w:rsidTr="00E144D6">
        <w:tblPrEx>
          <w:tblCellMar>
            <w:top w:w="0" w:type="dxa"/>
            <w:bottom w:w="0" w:type="dxa"/>
          </w:tblCellMar>
        </w:tblPrEx>
        <w:trPr>
          <w:cantSplit/>
          <w:trHeight w:val="784"/>
        </w:trPr>
        <w:tc>
          <w:tcPr>
            <w:tcW w:w="390" w:type="pct"/>
            <w:vMerge w:val="restart"/>
            <w:tcBorders>
              <w:top w:val="single" w:sz="4" w:space="0" w:color="auto"/>
            </w:tcBorders>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貪污治罪條例</w:t>
            </w:r>
          </w:p>
        </w:tc>
        <w:tc>
          <w:tcPr>
            <w:tcW w:w="842"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第2條</w:t>
            </w:r>
          </w:p>
          <w:p w:rsidR="00000EB4" w:rsidRPr="00E144D6" w:rsidRDefault="00000EB4" w:rsidP="00E144D6">
            <w:pPr>
              <w:spacing w:line="240" w:lineRule="exact"/>
              <w:rPr>
                <w:rFonts w:ascii="標楷體" w:eastAsia="標楷體" w:hAnsi="標楷體" w:hint="eastAsia"/>
                <w:sz w:val="20"/>
                <w:szCs w:val="20"/>
              </w:rPr>
            </w:pP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第3條</w:t>
            </w:r>
          </w:p>
        </w:tc>
        <w:tc>
          <w:tcPr>
            <w:tcW w:w="1935"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公務員犯本條例之罪者，依本條例處斷。</w:t>
            </w: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與前條人員共犯本條例之罪者，亦依本條例處斷。</w:t>
            </w:r>
          </w:p>
        </w:tc>
        <w:tc>
          <w:tcPr>
            <w:tcW w:w="1833" w:type="pct"/>
            <w:tcBorders>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proofErr w:type="gramStart"/>
            <w:r w:rsidRPr="00E144D6">
              <w:rPr>
                <w:rFonts w:ascii="標楷體" w:eastAsia="標楷體" w:hAnsi="標楷體" w:hint="eastAsia"/>
                <w:sz w:val="20"/>
                <w:szCs w:val="20"/>
              </w:rPr>
              <w:t>詳</w:t>
            </w:r>
            <w:proofErr w:type="gramEnd"/>
            <w:r w:rsidRPr="00E144D6">
              <w:rPr>
                <w:rFonts w:ascii="標楷體" w:eastAsia="標楷體" w:hAnsi="標楷體" w:hint="eastAsia"/>
                <w:sz w:val="20"/>
                <w:szCs w:val="20"/>
              </w:rPr>
              <w:t>貪污治罪條例第4條、第5條、第6條、10條、第12條、第13條、第15條、第17條規定</w:t>
            </w:r>
          </w:p>
        </w:tc>
      </w:tr>
      <w:tr w:rsidR="00000EB4" w:rsidRPr="00E144D6" w:rsidTr="00E144D6">
        <w:tblPrEx>
          <w:tblCellMar>
            <w:top w:w="0" w:type="dxa"/>
            <w:bottom w:w="0" w:type="dxa"/>
          </w:tblCellMar>
        </w:tblPrEx>
        <w:trPr>
          <w:cantSplit/>
          <w:trHeight w:val="824"/>
        </w:trPr>
        <w:tc>
          <w:tcPr>
            <w:tcW w:w="390" w:type="pct"/>
            <w:vMerge/>
          </w:tcPr>
          <w:p w:rsidR="00000EB4" w:rsidRPr="00E144D6" w:rsidRDefault="00000EB4" w:rsidP="00E144D6">
            <w:pPr>
              <w:spacing w:line="240" w:lineRule="exact"/>
              <w:rPr>
                <w:rFonts w:ascii="標楷體" w:eastAsia="標楷體" w:hAnsi="標楷體" w:hint="eastAsia"/>
                <w:sz w:val="20"/>
                <w:szCs w:val="20"/>
              </w:rPr>
            </w:pPr>
          </w:p>
        </w:tc>
        <w:tc>
          <w:tcPr>
            <w:tcW w:w="842"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第11條第1項及第4項</w:t>
            </w: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000EB4" w:rsidRPr="00E144D6" w:rsidRDefault="00000EB4"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對於第2條人員，關於違背職務之行為，行求、期約或交付賄賂或其他不正利益者。</w:t>
            </w: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不具第2條人員之身分而犯第1項之罪者。</w:t>
            </w:r>
          </w:p>
        </w:tc>
        <w:tc>
          <w:tcPr>
            <w:tcW w:w="1833" w:type="pct"/>
            <w:tcBorders>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處1年以上7年以下有期徒刑，得</w:t>
            </w:r>
            <w:proofErr w:type="gramStart"/>
            <w:r w:rsidRPr="00E144D6">
              <w:rPr>
                <w:rFonts w:ascii="標楷體" w:eastAsia="標楷體" w:hAnsi="標楷體" w:hint="eastAsia"/>
                <w:sz w:val="20"/>
                <w:szCs w:val="20"/>
              </w:rPr>
              <w:t>併</w:t>
            </w:r>
            <w:proofErr w:type="gramEnd"/>
            <w:r w:rsidRPr="00E144D6">
              <w:rPr>
                <w:rFonts w:ascii="標楷體" w:eastAsia="標楷體" w:hAnsi="標楷體" w:hint="eastAsia"/>
                <w:sz w:val="20"/>
                <w:szCs w:val="20"/>
              </w:rPr>
              <w:t>科新台幣3百萬元以下罰金。</w:t>
            </w:r>
          </w:p>
        </w:tc>
      </w:tr>
      <w:tr w:rsidR="00000EB4" w:rsidRPr="00E144D6" w:rsidTr="00E144D6">
        <w:tblPrEx>
          <w:tblCellMar>
            <w:top w:w="0" w:type="dxa"/>
            <w:bottom w:w="0" w:type="dxa"/>
          </w:tblCellMar>
        </w:tblPrEx>
        <w:trPr>
          <w:cantSplit/>
          <w:trHeight w:val="849"/>
        </w:trPr>
        <w:tc>
          <w:tcPr>
            <w:tcW w:w="390" w:type="pct"/>
            <w:vMerge/>
            <w:tcBorders>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p>
        </w:tc>
        <w:tc>
          <w:tcPr>
            <w:tcW w:w="842"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第11條第2項及第4項</w:t>
            </w: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行賄罪</w:t>
            </w:r>
          </w:p>
        </w:tc>
        <w:tc>
          <w:tcPr>
            <w:tcW w:w="1935"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對於第2條人員，關於</w:t>
            </w:r>
            <w:r w:rsidRPr="00E144D6">
              <w:rPr>
                <w:rFonts w:ascii="標楷體" w:eastAsia="標楷體" w:hAnsi="標楷體"/>
                <w:sz w:val="20"/>
                <w:szCs w:val="20"/>
              </w:rPr>
              <w:t>不違背職務之行為，行求、期約或交付賄賂或其他不正利益</w:t>
            </w:r>
            <w:r w:rsidRPr="00E144D6">
              <w:rPr>
                <w:rFonts w:ascii="標楷體" w:eastAsia="標楷體" w:hAnsi="標楷體" w:hint="eastAsia"/>
                <w:sz w:val="20"/>
                <w:szCs w:val="20"/>
              </w:rPr>
              <w:t>者。</w:t>
            </w:r>
          </w:p>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不具第2條人員之身分而犯第2項之罪者。</w:t>
            </w:r>
          </w:p>
        </w:tc>
        <w:tc>
          <w:tcPr>
            <w:tcW w:w="1833" w:type="pct"/>
            <w:tcBorders>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處3年以下有期徒刑</w:t>
            </w:r>
            <w:r w:rsidRPr="00E144D6">
              <w:rPr>
                <w:rFonts w:ascii="標楷體" w:eastAsia="標楷體" w:hAnsi="標楷體"/>
                <w:sz w:val="20"/>
                <w:szCs w:val="20"/>
              </w:rPr>
              <w:t>、拘役或科或</w:t>
            </w:r>
            <w:proofErr w:type="gramStart"/>
            <w:r w:rsidRPr="00E144D6">
              <w:rPr>
                <w:rFonts w:ascii="標楷體" w:eastAsia="標楷體" w:hAnsi="標楷體"/>
                <w:sz w:val="20"/>
                <w:szCs w:val="20"/>
              </w:rPr>
              <w:t>併</w:t>
            </w:r>
            <w:proofErr w:type="gramEnd"/>
            <w:r w:rsidRPr="00E144D6">
              <w:rPr>
                <w:rFonts w:ascii="標楷體" w:eastAsia="標楷體" w:hAnsi="標楷體"/>
                <w:sz w:val="20"/>
                <w:szCs w:val="20"/>
              </w:rPr>
              <w:t>科新臺幣</w:t>
            </w:r>
            <w:r w:rsidRPr="00E144D6">
              <w:rPr>
                <w:rFonts w:ascii="標楷體" w:eastAsia="標楷體" w:hAnsi="標楷體" w:hint="eastAsia"/>
                <w:sz w:val="20"/>
                <w:szCs w:val="20"/>
              </w:rPr>
              <w:t>50</w:t>
            </w:r>
            <w:r w:rsidRPr="00E144D6">
              <w:rPr>
                <w:rFonts w:ascii="標楷體" w:eastAsia="標楷體" w:hAnsi="標楷體"/>
                <w:sz w:val="20"/>
                <w:szCs w:val="20"/>
              </w:rPr>
              <w:t>萬元以下罰金</w:t>
            </w:r>
            <w:r w:rsidRPr="00E144D6">
              <w:rPr>
                <w:rFonts w:ascii="標楷體" w:eastAsia="標楷體" w:hAnsi="標楷體" w:hint="eastAsia"/>
                <w:sz w:val="20"/>
                <w:szCs w:val="20"/>
              </w:rPr>
              <w:t>。</w:t>
            </w:r>
          </w:p>
        </w:tc>
      </w:tr>
      <w:tr w:rsidR="00000EB4" w:rsidRPr="00E144D6">
        <w:tblPrEx>
          <w:tblCellMar>
            <w:top w:w="0" w:type="dxa"/>
            <w:bottom w:w="0" w:type="dxa"/>
          </w:tblCellMar>
        </w:tblPrEx>
        <w:trPr>
          <w:cantSplit/>
          <w:tblHeader/>
        </w:trPr>
        <w:tc>
          <w:tcPr>
            <w:tcW w:w="390" w:type="pct"/>
            <w:tcBorders>
              <w:top w:val="single" w:sz="4" w:space="0" w:color="auto"/>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營造業法</w:t>
            </w:r>
          </w:p>
        </w:tc>
        <w:tc>
          <w:tcPr>
            <w:tcW w:w="842"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第39條</w:t>
            </w:r>
          </w:p>
        </w:tc>
        <w:tc>
          <w:tcPr>
            <w:tcW w:w="1935" w:type="pct"/>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營造業負責人或專任工程人員違反第37條第1項、第2項或前條規定致生公共危險。</w:t>
            </w:r>
          </w:p>
        </w:tc>
        <w:tc>
          <w:tcPr>
            <w:tcW w:w="1833" w:type="pct"/>
            <w:tcBorders>
              <w:bottom w:val="single" w:sz="4" w:space="0" w:color="auto"/>
            </w:tcBorders>
          </w:tcPr>
          <w:p w:rsidR="00000EB4" w:rsidRPr="00E144D6" w:rsidRDefault="00000EB4"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視其情形分別依法負其責任。</w:t>
            </w:r>
          </w:p>
        </w:tc>
      </w:tr>
    </w:tbl>
    <w:p w:rsidR="00D33F16" w:rsidRPr="00E144D6" w:rsidRDefault="00D33F16" w:rsidP="00E144D6">
      <w:pPr>
        <w:snapToGrid w:val="0"/>
        <w:spacing w:line="240" w:lineRule="exact"/>
        <w:ind w:left="600" w:hangingChars="300" w:hanging="600"/>
        <w:rPr>
          <w:rFonts w:ascii="標楷體" w:eastAsia="標楷體" w:hAnsi="標楷體" w:hint="eastAsia"/>
          <w:sz w:val="20"/>
          <w:szCs w:val="20"/>
        </w:rPr>
      </w:pPr>
      <w:r w:rsidRPr="00E144D6">
        <w:rPr>
          <w:rFonts w:ascii="標楷體" w:eastAsia="標楷體" w:hAnsi="標楷體" w:hint="eastAsia"/>
          <w:sz w:val="20"/>
          <w:szCs w:val="20"/>
        </w:rPr>
        <w:t>備註：其他各中央目的事業主管機關或地方政府所頒行之相關法規如</w:t>
      </w:r>
      <w:proofErr w:type="gramStart"/>
      <w:r w:rsidRPr="00E144D6">
        <w:rPr>
          <w:rFonts w:ascii="標楷體" w:eastAsia="標楷體" w:hAnsi="標楷體" w:hint="eastAsia"/>
          <w:sz w:val="20"/>
          <w:szCs w:val="20"/>
        </w:rPr>
        <w:t>勞</w:t>
      </w:r>
      <w:proofErr w:type="gramEnd"/>
      <w:r w:rsidRPr="00E144D6">
        <w:rPr>
          <w:rFonts w:ascii="標楷體" w:eastAsia="標楷體" w:hAnsi="標楷體" w:hint="eastAsia"/>
          <w:sz w:val="20"/>
          <w:szCs w:val="20"/>
        </w:rPr>
        <w:t>安衛、環保、水利、水保、共同管道、建築、鐵公路等另有規定者，依其規定辦理。</w:t>
      </w:r>
    </w:p>
    <w:p w:rsidR="00D33F16" w:rsidRPr="00E144D6" w:rsidRDefault="00D33F16" w:rsidP="00E144D6">
      <w:pPr>
        <w:spacing w:line="320" w:lineRule="exact"/>
        <w:rPr>
          <w:rFonts w:ascii="標楷體" w:eastAsia="標楷體" w:hAnsi="標楷體"/>
        </w:rPr>
      </w:pPr>
      <w:r w:rsidRPr="00E144D6">
        <w:rPr>
          <w:rFonts w:ascii="標楷體" w:eastAsia="標楷體" w:hAnsi="標楷體"/>
          <w:sz w:val="20"/>
          <w:szCs w:val="20"/>
        </w:rPr>
        <w:br w:type="page"/>
      </w:r>
      <w:r w:rsidRPr="00E144D6">
        <w:rPr>
          <w:rFonts w:ascii="標楷體" w:eastAsia="標楷體" w:hAnsi="標楷體" w:hint="eastAsia"/>
        </w:rPr>
        <w:lastRenderedPageBreak/>
        <w:t>（二）辦理公共工程採購可能涉及之相關民事責任之法規</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541"/>
        <w:gridCol w:w="3553"/>
        <w:gridCol w:w="3877"/>
      </w:tblGrid>
      <w:tr w:rsidR="00D33F16" w:rsidRPr="00E144D6">
        <w:tblPrEx>
          <w:tblCellMar>
            <w:top w:w="0" w:type="dxa"/>
            <w:bottom w:w="0" w:type="dxa"/>
          </w:tblCellMar>
        </w:tblPrEx>
        <w:trPr>
          <w:tblHeader/>
        </w:trPr>
        <w:tc>
          <w:tcPr>
            <w:tcW w:w="594" w:type="pct"/>
            <w:vAlign w:val="center"/>
          </w:tcPr>
          <w:p w:rsidR="00D33F16" w:rsidRPr="00E144D6" w:rsidRDefault="00D33F16" w:rsidP="00E144D6">
            <w:pPr>
              <w:spacing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法規名稱</w:t>
            </w:r>
          </w:p>
        </w:tc>
        <w:tc>
          <w:tcPr>
            <w:tcW w:w="757"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745"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904"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相關責任規定</w:t>
            </w: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sz w:val="20"/>
                <w:szCs w:val="20"/>
              </w:rPr>
              <w:t>第</w:t>
            </w:r>
            <w:r w:rsidRPr="00E144D6">
              <w:rPr>
                <w:rFonts w:ascii="標楷體" w:eastAsia="標楷體" w:hAnsi="標楷體" w:hint="eastAsia"/>
                <w:sz w:val="20"/>
                <w:szCs w:val="20"/>
              </w:rPr>
              <w:t>31條</w:t>
            </w:r>
          </w:p>
        </w:tc>
        <w:tc>
          <w:tcPr>
            <w:tcW w:w="1745" w:type="pct"/>
          </w:tcPr>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一、以偽造、變造之文件投標。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二、投標廠商另行借用他人名義或證件投標。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三、冒用他人名義或證件投標。</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四、在</w:t>
            </w:r>
            <w:r w:rsidRPr="00E144D6">
              <w:rPr>
                <w:rFonts w:ascii="標楷體" w:eastAsia="標楷體" w:hAnsi="標楷體" w:hint="eastAsia"/>
                <w:bCs/>
                <w:sz w:val="20"/>
              </w:rPr>
              <w:t>報價有效期間內撤回其報</w:t>
            </w:r>
            <w:r w:rsidRPr="00E144D6">
              <w:rPr>
                <w:rFonts w:ascii="標楷體" w:eastAsia="標楷體" w:hAnsi="標楷體" w:hint="eastAsia"/>
                <w:sz w:val="20"/>
              </w:rPr>
              <w:t>價。</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五、開標後應得標者不接受決標或拒不簽約。</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六、得標後未於規定期限內，繳足保證金或提供擔保。</w:t>
            </w:r>
          </w:p>
          <w:p w:rsidR="00D33F16" w:rsidRPr="00E144D6" w:rsidRDefault="00D33F16" w:rsidP="00E144D6">
            <w:pPr>
              <w:pStyle w:val="19"/>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七、押標金轉換為保證金。</w:t>
            </w:r>
          </w:p>
          <w:p w:rsidR="00D33F16" w:rsidRPr="00E144D6" w:rsidRDefault="00D33F16"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八、其他經主管機關認定有影響採購公正之違反法令行為者。</w:t>
            </w:r>
          </w:p>
        </w:tc>
        <w:tc>
          <w:tcPr>
            <w:tcW w:w="1904" w:type="pct"/>
          </w:tcPr>
          <w:p w:rsidR="00D33F16" w:rsidRPr="00E144D6" w:rsidRDefault="00D33F16" w:rsidP="00E144D6">
            <w:pPr>
              <w:pStyle w:val="27"/>
              <w:spacing w:line="240" w:lineRule="exact"/>
              <w:ind w:left="0" w:firstLine="0"/>
              <w:rPr>
                <w:rFonts w:ascii="標楷體" w:eastAsia="標楷體" w:hAnsi="標楷體"/>
                <w:sz w:val="20"/>
              </w:rPr>
            </w:pPr>
            <w:r w:rsidRPr="00E144D6">
              <w:rPr>
                <w:rFonts w:ascii="標楷體" w:eastAsia="標楷體" w:hAnsi="標楷體" w:hint="eastAsia"/>
                <w:sz w:val="20"/>
              </w:rPr>
              <w:t>機關得於招標文件中規定，廠商有左列情形之</w:t>
            </w:r>
            <w:proofErr w:type="gramStart"/>
            <w:r w:rsidRPr="00E144D6">
              <w:rPr>
                <w:rFonts w:ascii="標楷體" w:eastAsia="標楷體" w:hAnsi="標楷體" w:hint="eastAsia"/>
                <w:sz w:val="20"/>
              </w:rPr>
              <w:t>一</w:t>
            </w:r>
            <w:proofErr w:type="gramEnd"/>
            <w:r w:rsidRPr="00E144D6">
              <w:rPr>
                <w:rFonts w:ascii="標楷體" w:eastAsia="標楷體" w:hAnsi="標楷體" w:hint="eastAsia"/>
                <w:sz w:val="20"/>
              </w:rPr>
              <w:t>者，其所繳納之押標金，不予發還，其已發還者，並予追繳。</w:t>
            </w:r>
          </w:p>
          <w:p w:rsidR="00D33F16" w:rsidRPr="00E144D6" w:rsidRDefault="00D33F16" w:rsidP="00E144D6">
            <w:pPr>
              <w:spacing w:line="240" w:lineRule="exact"/>
              <w:rPr>
                <w:rFonts w:ascii="標楷體" w:eastAsia="標楷體" w:hAnsi="標楷體" w:hint="eastAsia"/>
                <w:sz w:val="20"/>
                <w:szCs w:val="20"/>
              </w:rPr>
            </w:pPr>
          </w:p>
        </w:tc>
      </w:tr>
      <w:tr w:rsidR="00D33F16" w:rsidRPr="00E144D6">
        <w:tblPrEx>
          <w:tblCellMar>
            <w:top w:w="0" w:type="dxa"/>
            <w:bottom w:w="0" w:type="dxa"/>
          </w:tblCellMar>
        </w:tblPrEx>
        <w:trPr>
          <w:cantSplit/>
          <w:trHeight w:val="910"/>
          <w:tblHeader/>
        </w:trPr>
        <w:tc>
          <w:tcPr>
            <w:tcW w:w="594"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757"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w:t>
            </w:r>
          </w:p>
        </w:tc>
        <w:tc>
          <w:tcPr>
            <w:tcW w:w="1745" w:type="pct"/>
            <w:tcBorders>
              <w:bottom w:val="single" w:sz="4" w:space="0" w:color="auto"/>
            </w:tcBorders>
          </w:tcPr>
          <w:p w:rsidR="00D33F16" w:rsidRPr="00E144D6" w:rsidRDefault="00D33F16" w:rsidP="00E144D6">
            <w:pPr>
              <w:pStyle w:val="19"/>
              <w:spacing w:line="240" w:lineRule="exact"/>
              <w:ind w:left="0" w:firstLine="0"/>
              <w:rPr>
                <w:rFonts w:ascii="標楷體" w:eastAsia="標楷體" w:hAnsi="標楷體" w:hint="eastAsia"/>
                <w:sz w:val="20"/>
              </w:rPr>
            </w:pPr>
            <w:r w:rsidRPr="00E144D6">
              <w:rPr>
                <w:rFonts w:ascii="標楷體" w:eastAsia="標楷體" w:hAnsi="標楷體" w:hint="eastAsia"/>
                <w:sz w:val="20"/>
              </w:rPr>
              <w:t>得標廠商有招標文件規定之不發還其繳納之全部或部分保證金及其孳息之情形。（請參照</w:t>
            </w:r>
            <w:proofErr w:type="gramStart"/>
            <w:r w:rsidRPr="00E144D6">
              <w:rPr>
                <w:rFonts w:ascii="標楷體" w:eastAsia="標楷體" w:hAnsi="標楷體" w:hint="eastAsia"/>
                <w:sz w:val="20"/>
              </w:rPr>
              <w:t>押</w:t>
            </w:r>
            <w:proofErr w:type="gramEnd"/>
            <w:r w:rsidRPr="00E144D6">
              <w:rPr>
                <w:rFonts w:ascii="標楷體" w:eastAsia="標楷體" w:hAnsi="標楷體" w:hint="eastAsia"/>
                <w:sz w:val="20"/>
              </w:rPr>
              <w:t>標金保證金暨其他擔保作業辦法第20條規定）</w:t>
            </w:r>
          </w:p>
        </w:tc>
        <w:tc>
          <w:tcPr>
            <w:tcW w:w="1904" w:type="pct"/>
            <w:tcBorders>
              <w:bottom w:val="single" w:sz="4" w:space="0" w:color="auto"/>
            </w:tcBorders>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廠商如有違反，機關得不發還其所繳納之全部或部分保證金及其孳息。</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第50條</w:t>
            </w:r>
          </w:p>
        </w:tc>
        <w:tc>
          <w:tcPr>
            <w:tcW w:w="1745" w:type="pct"/>
          </w:tcPr>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一、未依招標文件之規定投標。</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二、投標文件內容不符合招標文件之規定。</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三、借用或冒用他人名義或證件，或以偽造、變造之文件投標。</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四、偽造或變造投標文件。</w:t>
            </w:r>
          </w:p>
          <w:p w:rsidR="00D33F16" w:rsidRPr="00E144D6" w:rsidRDefault="00D33F16" w:rsidP="00E144D6">
            <w:pPr>
              <w:pStyle w:val="19"/>
              <w:snapToGrid w:val="0"/>
              <w:spacing w:line="240" w:lineRule="exact"/>
              <w:ind w:left="400" w:hangingChars="200" w:hanging="400"/>
              <w:rPr>
                <w:rFonts w:ascii="標楷體" w:eastAsia="標楷體" w:hAnsi="標楷體"/>
                <w:sz w:val="20"/>
              </w:rPr>
            </w:pPr>
            <w:r w:rsidRPr="00E144D6">
              <w:rPr>
                <w:rFonts w:ascii="標楷體" w:eastAsia="標楷體" w:hAnsi="標楷體" w:hint="eastAsia"/>
                <w:sz w:val="20"/>
              </w:rPr>
              <w:t>五、不同投標廠商間之投標文件內容有重大異常關聯者。</w:t>
            </w:r>
          </w:p>
          <w:p w:rsidR="00D33F16" w:rsidRPr="00E144D6" w:rsidRDefault="00D33F16" w:rsidP="00E144D6">
            <w:pPr>
              <w:pStyle w:val="19"/>
              <w:snapToGrid w:val="0"/>
              <w:spacing w:line="240" w:lineRule="exact"/>
              <w:ind w:left="400" w:hangingChars="200" w:hanging="400"/>
              <w:rPr>
                <w:rFonts w:ascii="標楷體" w:eastAsia="標楷體" w:hAnsi="標楷體" w:hint="eastAsia"/>
                <w:sz w:val="20"/>
              </w:rPr>
            </w:pPr>
            <w:r w:rsidRPr="00E144D6">
              <w:rPr>
                <w:rFonts w:ascii="標楷體" w:eastAsia="標楷體" w:hAnsi="標楷體" w:hint="eastAsia"/>
                <w:sz w:val="20"/>
              </w:rPr>
              <w:t>六、第103條第1項不得參加投標或作為決標對象之情形。</w:t>
            </w:r>
          </w:p>
          <w:p w:rsidR="00D33F16" w:rsidRPr="00E144D6" w:rsidRDefault="00D33F16"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七、其他影響採購公正之違反法令行為。</w:t>
            </w:r>
          </w:p>
        </w:tc>
        <w:tc>
          <w:tcPr>
            <w:tcW w:w="1904" w:type="pct"/>
          </w:tcPr>
          <w:p w:rsidR="00D33F16" w:rsidRPr="00E144D6" w:rsidRDefault="00D33F16" w:rsidP="00E144D6">
            <w:pPr>
              <w:adjustRightInd w:val="0"/>
              <w:snapToGrid w:val="0"/>
              <w:spacing w:line="240" w:lineRule="exact"/>
              <w:rPr>
                <w:rFonts w:ascii="標楷體" w:eastAsia="標楷體" w:hAnsi="標楷體" w:hint="eastAsia"/>
                <w:sz w:val="20"/>
                <w:szCs w:val="20"/>
              </w:rPr>
            </w:pPr>
            <w:r w:rsidRPr="00E144D6">
              <w:rPr>
                <w:rFonts w:ascii="標楷體" w:eastAsia="標楷體" w:hAnsi="標楷體" w:hint="eastAsia"/>
                <w:sz w:val="20"/>
                <w:szCs w:val="20"/>
              </w:rPr>
              <w:t>投標廠商有左列情形之一，經機關於開標前發現者，其所投之標應不予開標；於開標後發現者，應不</w:t>
            </w:r>
            <w:proofErr w:type="gramStart"/>
            <w:r w:rsidRPr="00E144D6">
              <w:rPr>
                <w:rFonts w:ascii="標楷體" w:eastAsia="標楷體" w:hAnsi="標楷體" w:hint="eastAsia"/>
                <w:sz w:val="20"/>
                <w:szCs w:val="20"/>
              </w:rPr>
              <w:t>決標予該</w:t>
            </w:r>
            <w:proofErr w:type="gramEnd"/>
            <w:r w:rsidRPr="00E144D6">
              <w:rPr>
                <w:rFonts w:ascii="標楷體" w:eastAsia="標楷體" w:hAnsi="標楷體" w:hint="eastAsia"/>
                <w:sz w:val="20"/>
                <w:szCs w:val="20"/>
              </w:rPr>
              <w:t>廠商。</w:t>
            </w:r>
          </w:p>
          <w:p w:rsidR="00D33F16" w:rsidRPr="00E144D6" w:rsidRDefault="00D33F16" w:rsidP="00E144D6">
            <w:pPr>
              <w:pStyle w:val="27"/>
              <w:snapToGrid w:val="0"/>
              <w:spacing w:line="240" w:lineRule="exact"/>
              <w:ind w:left="0" w:firstLine="0"/>
              <w:rPr>
                <w:rFonts w:ascii="標楷體" w:eastAsia="標楷體" w:hAnsi="標楷體"/>
                <w:sz w:val="20"/>
              </w:rPr>
            </w:pPr>
            <w:r w:rsidRPr="00E144D6">
              <w:rPr>
                <w:rFonts w:ascii="標楷體" w:eastAsia="標楷體" w:hAnsi="標楷體" w:hint="eastAsia"/>
                <w:sz w:val="20"/>
              </w:rPr>
              <w:t>決標或簽約後發現得標廠商於決標前有前項情形者，應撤銷決標、終止契約或解除契約，並得追償損失。但撤銷決標、終止契約或解除契約反不符公共利益，並經上級機關核准者，不在此限。</w:t>
            </w:r>
          </w:p>
          <w:p w:rsidR="00D33F16" w:rsidRPr="00E144D6" w:rsidRDefault="00D33F16" w:rsidP="00E144D6">
            <w:pPr>
              <w:adjustRightInd w:val="0"/>
              <w:snapToGrid w:val="0"/>
              <w:spacing w:line="240" w:lineRule="exact"/>
              <w:rPr>
                <w:rFonts w:ascii="標楷體" w:eastAsia="標楷體" w:hAnsi="標楷體" w:hint="eastAsia"/>
                <w:sz w:val="20"/>
                <w:szCs w:val="20"/>
              </w:rPr>
            </w:pPr>
            <w:r w:rsidRPr="00E144D6">
              <w:rPr>
                <w:rFonts w:ascii="標楷體" w:eastAsia="標楷體" w:hAnsi="標楷體" w:hint="eastAsia"/>
                <w:sz w:val="20"/>
                <w:szCs w:val="20"/>
              </w:rPr>
              <w:t>第1項不予開標或不予決標，致採購程序無法繼續進行者，機關得宣布廢標。</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第63條</w:t>
            </w:r>
          </w:p>
        </w:tc>
        <w:tc>
          <w:tcPr>
            <w:tcW w:w="1745" w:type="pct"/>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違反採購契約約定</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契約經訂定後，對廠商與機關均發生拘束力，廠商如</w:t>
            </w:r>
            <w:proofErr w:type="gramStart"/>
            <w:r w:rsidRPr="00E144D6">
              <w:rPr>
                <w:rFonts w:ascii="標楷體" w:eastAsia="標楷體" w:hAnsi="標楷體" w:hint="eastAsia"/>
                <w:sz w:val="20"/>
                <w:szCs w:val="20"/>
              </w:rPr>
              <w:t>不</w:t>
            </w:r>
            <w:proofErr w:type="gramEnd"/>
            <w:r w:rsidRPr="00E144D6">
              <w:rPr>
                <w:rFonts w:ascii="標楷體" w:eastAsia="標楷體" w:hAnsi="標楷體" w:hint="eastAsia"/>
                <w:sz w:val="20"/>
                <w:szCs w:val="20"/>
              </w:rPr>
              <w:t>遵行，自應負契約責任（如逾期罰款、違約金、不發還履保金、損害賠償等）</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第66條</w:t>
            </w:r>
          </w:p>
        </w:tc>
        <w:tc>
          <w:tcPr>
            <w:tcW w:w="1745" w:type="pct"/>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 xml:space="preserve">得標廠商違反轉包之規定 </w:t>
            </w:r>
          </w:p>
        </w:tc>
        <w:tc>
          <w:tcPr>
            <w:tcW w:w="1904" w:type="pct"/>
          </w:tcPr>
          <w:p w:rsidR="00D33F16" w:rsidRPr="00E144D6" w:rsidRDefault="00D33F16" w:rsidP="00E144D6">
            <w:pPr>
              <w:pStyle w:val="17"/>
              <w:spacing w:before="0" w:line="240" w:lineRule="exact"/>
              <w:ind w:left="0" w:firstLine="0"/>
              <w:rPr>
                <w:rFonts w:ascii="標楷體" w:eastAsia="標楷體" w:hAnsi="標楷體"/>
                <w:sz w:val="20"/>
              </w:rPr>
            </w:pPr>
            <w:r w:rsidRPr="00E144D6">
              <w:rPr>
                <w:rFonts w:ascii="標楷體" w:eastAsia="標楷體" w:hAnsi="標楷體" w:hint="eastAsia"/>
                <w:sz w:val="20"/>
              </w:rPr>
              <w:t>機關得解除契約、終止契約或沒收保證金，並得要求損害賠償。</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轉包廠商與得標廠商對機關負連帶履行及賠償責任。再</w:t>
            </w:r>
            <w:proofErr w:type="gramStart"/>
            <w:r w:rsidRPr="00E144D6">
              <w:rPr>
                <w:rFonts w:ascii="標楷體" w:eastAsia="標楷體" w:hAnsi="標楷體" w:hint="eastAsia"/>
                <w:sz w:val="20"/>
                <w:szCs w:val="20"/>
              </w:rPr>
              <w:t>轉包者</w:t>
            </w:r>
            <w:proofErr w:type="gramEnd"/>
            <w:r w:rsidRPr="00E144D6">
              <w:rPr>
                <w:rFonts w:ascii="標楷體" w:eastAsia="標楷體" w:hAnsi="標楷體" w:hint="eastAsia"/>
                <w:sz w:val="20"/>
                <w:szCs w:val="20"/>
              </w:rPr>
              <w:t>，亦同。</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第70條</w:t>
            </w:r>
          </w:p>
        </w:tc>
        <w:tc>
          <w:tcPr>
            <w:tcW w:w="1745" w:type="pct"/>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工程品質及進度等相關規定</w:t>
            </w:r>
          </w:p>
        </w:tc>
        <w:tc>
          <w:tcPr>
            <w:tcW w:w="1904" w:type="pct"/>
          </w:tcPr>
          <w:p w:rsidR="00D33F16" w:rsidRPr="00E144D6" w:rsidRDefault="00D33F16" w:rsidP="00E144D6">
            <w:pPr>
              <w:pStyle w:val="17"/>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參閱工程施工查核小組作業辦法第10條及公共工程施工品質管理作業要點之規定。</w:t>
            </w:r>
          </w:p>
        </w:tc>
      </w:tr>
      <w:tr w:rsidR="00D33F16" w:rsidRPr="00E144D6" w:rsidTr="00E144D6">
        <w:tblPrEx>
          <w:tblCellMar>
            <w:top w:w="0" w:type="dxa"/>
            <w:bottom w:w="0" w:type="dxa"/>
          </w:tblCellMar>
        </w:tblPrEx>
        <w:trPr>
          <w:cantSplit/>
          <w:trHeight w:val="3720"/>
          <w:tblHeader/>
        </w:trPr>
        <w:tc>
          <w:tcPr>
            <w:tcW w:w="594" w:type="pct"/>
            <w:vMerge/>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p>
        </w:tc>
        <w:tc>
          <w:tcPr>
            <w:tcW w:w="757" w:type="pct"/>
            <w:tcBorders>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第72條</w:t>
            </w:r>
          </w:p>
        </w:tc>
        <w:tc>
          <w:tcPr>
            <w:tcW w:w="1745" w:type="pct"/>
            <w:tcBorders>
              <w:bottom w:val="single" w:sz="4" w:space="0" w:color="auto"/>
            </w:tcBorders>
          </w:tcPr>
          <w:p w:rsidR="00D33F16" w:rsidRPr="00E144D6" w:rsidRDefault="00D33F16" w:rsidP="00E144D6">
            <w:pPr>
              <w:pStyle w:val="19"/>
              <w:spacing w:line="240" w:lineRule="exact"/>
              <w:ind w:left="872" w:hanging="890"/>
              <w:rPr>
                <w:rFonts w:ascii="標楷體" w:eastAsia="標楷體" w:hAnsi="標楷體" w:hint="eastAsia"/>
                <w:sz w:val="20"/>
              </w:rPr>
            </w:pPr>
            <w:r w:rsidRPr="00E144D6">
              <w:rPr>
                <w:rFonts w:ascii="標楷體" w:eastAsia="標楷體" w:hAnsi="標楷體" w:hint="eastAsia"/>
                <w:sz w:val="20"/>
              </w:rPr>
              <w:t>驗收不符之規定</w:t>
            </w:r>
          </w:p>
        </w:tc>
        <w:tc>
          <w:tcPr>
            <w:tcW w:w="1904" w:type="pct"/>
            <w:tcBorders>
              <w:bottom w:val="single" w:sz="4" w:space="0" w:color="auto"/>
            </w:tcBorders>
          </w:tcPr>
          <w:p w:rsidR="00D33F16" w:rsidRPr="00E144D6" w:rsidRDefault="00D33F16" w:rsidP="00E144D6">
            <w:pPr>
              <w:pStyle w:val="17"/>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rsidR="00D33F16" w:rsidRPr="00E144D6" w:rsidRDefault="00D33F16" w:rsidP="00E144D6">
            <w:pPr>
              <w:pStyle w:val="17"/>
              <w:snapToGrid w:val="0"/>
              <w:spacing w:before="0" w:line="240" w:lineRule="exact"/>
              <w:ind w:left="0" w:firstLine="0"/>
              <w:rPr>
                <w:rFonts w:ascii="標楷體" w:eastAsia="標楷體" w:hAnsi="標楷體"/>
                <w:sz w:val="20"/>
              </w:rPr>
            </w:pPr>
            <w:r w:rsidRPr="00E144D6">
              <w:rPr>
                <w:rFonts w:ascii="標楷體" w:eastAsia="標楷體" w:hAnsi="標楷體" w:hint="eastAsia"/>
                <w:sz w:val="20"/>
              </w:rPr>
              <w:t>驗收結果與規定不符，而不妨礙安全及使用需求，亦無減少通常效用或契約預定效用，經機關檢討不必拆換或</w:t>
            </w:r>
            <w:proofErr w:type="gramStart"/>
            <w:r w:rsidRPr="00E144D6">
              <w:rPr>
                <w:rFonts w:ascii="標楷體" w:eastAsia="標楷體" w:hAnsi="標楷體" w:hint="eastAsia"/>
                <w:sz w:val="20"/>
              </w:rPr>
              <w:t>拆換確有</w:t>
            </w:r>
            <w:proofErr w:type="gramEnd"/>
            <w:r w:rsidRPr="00E144D6">
              <w:rPr>
                <w:rFonts w:ascii="標楷體" w:eastAsia="標楷體" w:hAnsi="標楷體" w:hint="eastAsia"/>
                <w:sz w:val="20"/>
              </w:rPr>
              <w:t>困難者，得於必要時減價收受。其在查核金額以上之採購，應先報經上級機關核准；未達查核金額之採購，應經機關首長或其授權人員核准。</w:t>
            </w:r>
          </w:p>
          <w:p w:rsidR="00D33F16" w:rsidRPr="00E144D6" w:rsidRDefault="00D33F16" w:rsidP="00E144D6">
            <w:pPr>
              <w:pStyle w:val="17"/>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驗收人對工程、財物隱蔽部分，於必要時得拆驗或化驗。</w:t>
            </w:r>
          </w:p>
        </w:tc>
      </w:tr>
      <w:tr w:rsidR="00D33F16" w:rsidRPr="00E144D6">
        <w:tblPrEx>
          <w:tblCellMar>
            <w:top w:w="0" w:type="dxa"/>
            <w:bottom w:w="0" w:type="dxa"/>
          </w:tblCellMar>
        </w:tblPrEx>
        <w:trPr>
          <w:cantSplit/>
          <w:tblHeader/>
        </w:trPr>
        <w:tc>
          <w:tcPr>
            <w:tcW w:w="59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第39條</w:t>
            </w:r>
          </w:p>
        </w:tc>
        <w:tc>
          <w:tcPr>
            <w:tcW w:w="174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營造業負責人或專任工程人員違反第37條第1項、第2項或前條規定致生公共危險。</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視其情形分別依法負其責任。</w:t>
            </w:r>
          </w:p>
        </w:tc>
      </w:tr>
    </w:tbl>
    <w:p w:rsidR="00D33F16" w:rsidRPr="00E144D6" w:rsidRDefault="00D33F16" w:rsidP="00E144D6">
      <w:pPr>
        <w:snapToGrid w:val="0"/>
        <w:spacing w:beforeLines="50" w:before="120" w:line="240" w:lineRule="exact"/>
        <w:ind w:left="600" w:hangingChars="300" w:hanging="600"/>
        <w:rPr>
          <w:rFonts w:ascii="標楷體" w:eastAsia="標楷體" w:hAnsi="標楷體" w:hint="eastAsia"/>
          <w:sz w:val="20"/>
          <w:szCs w:val="20"/>
        </w:rPr>
      </w:pPr>
      <w:r w:rsidRPr="00E144D6">
        <w:rPr>
          <w:rFonts w:ascii="標楷體" w:eastAsia="標楷體" w:hAnsi="標楷體" w:hint="eastAsia"/>
          <w:sz w:val="20"/>
          <w:szCs w:val="20"/>
        </w:rPr>
        <w:t>備註：有關工程採購契約，對於履約延遲、驗收不合及施工品質不良設有契約責任之約定，應依約辦理。</w:t>
      </w:r>
    </w:p>
    <w:p w:rsidR="00D33F16" w:rsidRPr="00E144D6" w:rsidRDefault="00D33F16" w:rsidP="00E144D6">
      <w:pPr>
        <w:spacing w:line="320" w:lineRule="exact"/>
        <w:rPr>
          <w:rFonts w:ascii="標楷體" w:eastAsia="標楷體" w:hAnsi="標楷體"/>
        </w:rPr>
      </w:pPr>
      <w:r w:rsidRPr="00E144D6">
        <w:rPr>
          <w:rFonts w:ascii="標楷體" w:eastAsia="標楷體" w:hAnsi="標楷體"/>
          <w:sz w:val="20"/>
          <w:szCs w:val="20"/>
        </w:rPr>
        <w:br w:type="page"/>
      </w:r>
      <w:r w:rsidRPr="00E144D6">
        <w:rPr>
          <w:rFonts w:ascii="標楷體" w:eastAsia="標楷體" w:hAnsi="標楷體" w:hint="eastAsia"/>
        </w:rPr>
        <w:lastRenderedPageBreak/>
        <w:t>（三）辦理公共工程採購可能涉及之相關行政責任之法規</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10"/>
        <w:gridCol w:w="1541"/>
        <w:gridCol w:w="3553"/>
        <w:gridCol w:w="3877"/>
      </w:tblGrid>
      <w:tr w:rsidR="00D33F16" w:rsidRPr="00E144D6">
        <w:tblPrEx>
          <w:tblCellMar>
            <w:top w:w="0" w:type="dxa"/>
            <w:bottom w:w="0" w:type="dxa"/>
          </w:tblCellMar>
        </w:tblPrEx>
        <w:trPr>
          <w:tblHeader/>
        </w:trPr>
        <w:tc>
          <w:tcPr>
            <w:tcW w:w="594" w:type="pct"/>
            <w:vAlign w:val="center"/>
          </w:tcPr>
          <w:p w:rsidR="00D33F16" w:rsidRPr="00E144D6" w:rsidRDefault="00D33F16" w:rsidP="00E144D6">
            <w:pPr>
              <w:spacing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法規名稱</w:t>
            </w:r>
          </w:p>
        </w:tc>
        <w:tc>
          <w:tcPr>
            <w:tcW w:w="757"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745"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違反法規情形</w:t>
            </w:r>
          </w:p>
        </w:tc>
        <w:tc>
          <w:tcPr>
            <w:tcW w:w="1904" w:type="pct"/>
            <w:vAlign w:val="center"/>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相關責任規定</w:t>
            </w:r>
          </w:p>
        </w:tc>
      </w:tr>
      <w:tr w:rsidR="00D33F16" w:rsidRPr="00E144D6">
        <w:tblPrEx>
          <w:tblCellMar>
            <w:top w:w="0" w:type="dxa"/>
            <w:bottom w:w="0" w:type="dxa"/>
          </w:tblCellMar>
        </w:tblPrEx>
        <w:trPr>
          <w:cantSplit/>
          <w:tblHeader/>
        </w:trPr>
        <w:tc>
          <w:tcPr>
            <w:tcW w:w="59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政府採購法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sz w:val="20"/>
                <w:szCs w:val="20"/>
              </w:rPr>
              <w:t>第</w:t>
            </w:r>
            <w:r w:rsidRPr="00E144D6">
              <w:rPr>
                <w:rFonts w:ascii="標楷體" w:eastAsia="標楷體" w:hAnsi="標楷體" w:hint="eastAsia"/>
                <w:sz w:val="20"/>
                <w:szCs w:val="20"/>
              </w:rPr>
              <w:t>101條至</w:t>
            </w:r>
            <w:r w:rsidRPr="00E144D6">
              <w:rPr>
                <w:rFonts w:ascii="標楷體" w:eastAsia="標楷體" w:hAnsi="標楷體"/>
                <w:sz w:val="20"/>
                <w:szCs w:val="20"/>
              </w:rPr>
              <w:t>第</w:t>
            </w:r>
            <w:r w:rsidRPr="00E144D6">
              <w:rPr>
                <w:rFonts w:ascii="標楷體" w:eastAsia="標楷體" w:hAnsi="標楷體" w:hint="eastAsia"/>
                <w:sz w:val="20"/>
                <w:szCs w:val="20"/>
              </w:rPr>
              <w:t>103條</w:t>
            </w:r>
          </w:p>
        </w:tc>
        <w:tc>
          <w:tcPr>
            <w:tcW w:w="1745" w:type="pct"/>
          </w:tcPr>
          <w:p w:rsidR="00D33F16" w:rsidRPr="00E144D6" w:rsidRDefault="00D33F16" w:rsidP="00E144D6">
            <w:pPr>
              <w:pStyle w:val="210"/>
              <w:spacing w:before="0" w:line="240" w:lineRule="exact"/>
              <w:ind w:left="0" w:firstLine="0"/>
              <w:rPr>
                <w:rFonts w:ascii="標楷體" w:eastAsia="標楷體" w:hAnsi="標楷體"/>
                <w:sz w:val="20"/>
              </w:rPr>
            </w:pPr>
            <w:r w:rsidRPr="00E144D6">
              <w:rPr>
                <w:rFonts w:ascii="標楷體" w:eastAsia="標楷體" w:hAnsi="標楷體" w:hint="eastAsia"/>
                <w:sz w:val="20"/>
              </w:rPr>
              <w:t>機關辦理採購，發現廠商有下列情形之一，應將其事實及理由通知廠商，並</w:t>
            </w:r>
            <w:proofErr w:type="gramStart"/>
            <w:r w:rsidRPr="00E144D6">
              <w:rPr>
                <w:rFonts w:ascii="標楷體" w:eastAsia="標楷體" w:hAnsi="標楷體" w:hint="eastAsia"/>
                <w:sz w:val="20"/>
              </w:rPr>
              <w:t>附記如未</w:t>
            </w:r>
            <w:proofErr w:type="gramEnd"/>
            <w:r w:rsidRPr="00E144D6">
              <w:rPr>
                <w:rFonts w:ascii="標楷體" w:eastAsia="標楷體" w:hAnsi="標楷體" w:hint="eastAsia"/>
                <w:sz w:val="20"/>
              </w:rPr>
              <w:t>提出異議者，將刊登政府採購公報：</w:t>
            </w:r>
          </w:p>
          <w:p w:rsidR="00D33F16" w:rsidRPr="00E144D6" w:rsidRDefault="00D33F16" w:rsidP="00E144D6">
            <w:pPr>
              <w:pStyle w:val="220"/>
              <w:spacing w:line="240" w:lineRule="exact"/>
              <w:ind w:left="532" w:hanging="480"/>
              <w:rPr>
                <w:rFonts w:ascii="標楷體" w:eastAsia="標楷體" w:hAnsi="標楷體"/>
                <w:sz w:val="20"/>
              </w:rPr>
            </w:pPr>
            <w:r w:rsidRPr="00E144D6">
              <w:rPr>
                <w:rFonts w:ascii="標楷體" w:eastAsia="標楷體" w:hAnsi="標楷體" w:hint="eastAsia"/>
                <w:sz w:val="20"/>
              </w:rPr>
              <w:t>一、容許他人借用本人名義或證件參加投標者。</w:t>
            </w:r>
          </w:p>
          <w:p w:rsidR="00D33F16" w:rsidRPr="00E144D6" w:rsidRDefault="00D33F16" w:rsidP="00E144D6">
            <w:pPr>
              <w:pStyle w:val="220"/>
              <w:spacing w:line="240" w:lineRule="exact"/>
              <w:ind w:left="552" w:hanging="500"/>
              <w:rPr>
                <w:rFonts w:ascii="標楷體" w:eastAsia="標楷體" w:hAnsi="標楷體"/>
                <w:sz w:val="20"/>
              </w:rPr>
            </w:pPr>
            <w:r w:rsidRPr="00E144D6">
              <w:rPr>
                <w:rFonts w:ascii="標楷體" w:eastAsia="標楷體" w:hAnsi="標楷體" w:hint="eastAsia"/>
                <w:sz w:val="20"/>
              </w:rPr>
              <w:t>二、借用或冒用他人名義或證件，或以偽造、變造之文件參加投標、訂約或履約者。</w:t>
            </w:r>
          </w:p>
          <w:p w:rsidR="00D33F16" w:rsidRPr="00E144D6" w:rsidRDefault="00D33F16" w:rsidP="00E144D6">
            <w:pPr>
              <w:pStyle w:val="220"/>
              <w:spacing w:line="240" w:lineRule="exact"/>
              <w:ind w:left="1052" w:hanging="1000"/>
              <w:rPr>
                <w:rFonts w:ascii="標楷體" w:eastAsia="標楷體" w:hAnsi="標楷體"/>
                <w:sz w:val="20"/>
              </w:rPr>
            </w:pPr>
            <w:r w:rsidRPr="00E144D6">
              <w:rPr>
                <w:rFonts w:ascii="標楷體" w:eastAsia="標楷體" w:hAnsi="標楷體" w:hint="eastAsia"/>
                <w:sz w:val="20"/>
              </w:rPr>
              <w:t>三、擅自減省工料情節重大者。</w:t>
            </w:r>
          </w:p>
          <w:p w:rsidR="00D33F16" w:rsidRPr="00E144D6" w:rsidRDefault="00D33F16" w:rsidP="00E144D6">
            <w:pPr>
              <w:pStyle w:val="220"/>
              <w:spacing w:line="240" w:lineRule="exact"/>
              <w:ind w:left="572" w:hanging="520"/>
              <w:rPr>
                <w:rFonts w:ascii="標楷體" w:eastAsia="標楷體" w:hAnsi="標楷體"/>
                <w:sz w:val="20"/>
              </w:rPr>
            </w:pPr>
            <w:r w:rsidRPr="00E144D6">
              <w:rPr>
                <w:rFonts w:ascii="標楷體" w:eastAsia="標楷體" w:hAnsi="標楷體" w:hint="eastAsia"/>
                <w:sz w:val="20"/>
              </w:rPr>
              <w:t>四、偽造、變造投標、契約或履約相關文件者。</w:t>
            </w:r>
          </w:p>
          <w:p w:rsidR="00D33F16" w:rsidRPr="00E144D6" w:rsidRDefault="00D33F16" w:rsidP="00E144D6">
            <w:pPr>
              <w:pStyle w:val="220"/>
              <w:spacing w:line="240" w:lineRule="exact"/>
              <w:ind w:left="552" w:hanging="500"/>
              <w:rPr>
                <w:rFonts w:ascii="標楷體" w:eastAsia="標楷體" w:hAnsi="標楷體"/>
                <w:sz w:val="20"/>
              </w:rPr>
            </w:pPr>
            <w:r w:rsidRPr="00E144D6">
              <w:rPr>
                <w:rFonts w:ascii="標楷體" w:eastAsia="標楷體" w:hAnsi="標楷體" w:hint="eastAsia"/>
                <w:sz w:val="20"/>
              </w:rPr>
              <w:t>五、受停業處分期間仍參加投標者。</w:t>
            </w:r>
          </w:p>
          <w:p w:rsidR="00D33F16" w:rsidRPr="00E144D6" w:rsidRDefault="00D33F16" w:rsidP="00E144D6">
            <w:pPr>
              <w:pStyle w:val="220"/>
              <w:spacing w:line="240" w:lineRule="exact"/>
              <w:ind w:left="572" w:hanging="520"/>
              <w:rPr>
                <w:rFonts w:ascii="標楷體" w:eastAsia="標楷體" w:hAnsi="標楷體"/>
                <w:sz w:val="20"/>
              </w:rPr>
            </w:pPr>
            <w:r w:rsidRPr="00E144D6">
              <w:rPr>
                <w:rFonts w:ascii="標楷體" w:eastAsia="標楷體" w:hAnsi="標楷體" w:hint="eastAsia"/>
                <w:sz w:val="20"/>
              </w:rPr>
              <w:t>六、犯第87條至第92條之罪，經第1審為有罪判決者。</w:t>
            </w:r>
          </w:p>
          <w:p w:rsidR="00D33F16" w:rsidRPr="00E144D6" w:rsidRDefault="00D33F16" w:rsidP="00E144D6">
            <w:pPr>
              <w:pStyle w:val="220"/>
              <w:spacing w:line="240" w:lineRule="exact"/>
              <w:ind w:left="512" w:hanging="460"/>
              <w:rPr>
                <w:rFonts w:ascii="標楷體" w:eastAsia="標楷體" w:hAnsi="標楷體"/>
                <w:sz w:val="20"/>
              </w:rPr>
            </w:pPr>
            <w:r w:rsidRPr="00E144D6">
              <w:rPr>
                <w:rFonts w:ascii="標楷體" w:eastAsia="標楷體" w:hAnsi="標楷體" w:hint="eastAsia"/>
                <w:sz w:val="20"/>
              </w:rPr>
              <w:t>七、得標後無正當理由而不訂約者。</w:t>
            </w:r>
          </w:p>
          <w:p w:rsidR="00D33F16" w:rsidRPr="00E144D6" w:rsidRDefault="00D33F16" w:rsidP="00E144D6">
            <w:pPr>
              <w:pStyle w:val="220"/>
              <w:spacing w:line="240" w:lineRule="exact"/>
              <w:ind w:left="532" w:hanging="480"/>
              <w:rPr>
                <w:rFonts w:ascii="標楷體" w:eastAsia="標楷體" w:hAnsi="標楷體"/>
                <w:sz w:val="20"/>
              </w:rPr>
            </w:pPr>
            <w:r w:rsidRPr="00E144D6">
              <w:rPr>
                <w:rFonts w:ascii="標楷體" w:eastAsia="標楷體" w:hAnsi="標楷體" w:hint="eastAsia"/>
                <w:sz w:val="20"/>
              </w:rPr>
              <w:t>八、查驗或驗收不合格，情節重大者。</w:t>
            </w:r>
          </w:p>
          <w:p w:rsidR="00D33F16" w:rsidRPr="00E144D6" w:rsidRDefault="00D33F16" w:rsidP="00E144D6">
            <w:pPr>
              <w:pStyle w:val="220"/>
              <w:spacing w:line="240" w:lineRule="exact"/>
              <w:ind w:left="1052" w:hanging="1000"/>
              <w:rPr>
                <w:rFonts w:ascii="標楷體" w:eastAsia="標楷體" w:hAnsi="標楷體"/>
                <w:sz w:val="20"/>
              </w:rPr>
            </w:pPr>
            <w:r w:rsidRPr="00E144D6">
              <w:rPr>
                <w:rFonts w:ascii="標楷體" w:eastAsia="標楷體" w:hAnsi="標楷體" w:hint="eastAsia"/>
                <w:sz w:val="20"/>
              </w:rPr>
              <w:t>九、驗收後不履行保固責任者。</w:t>
            </w:r>
          </w:p>
          <w:p w:rsidR="00D33F16" w:rsidRPr="00E144D6" w:rsidRDefault="00D33F16" w:rsidP="00E144D6">
            <w:pPr>
              <w:pStyle w:val="230"/>
              <w:spacing w:line="240" w:lineRule="exact"/>
              <w:ind w:left="492" w:hanging="440"/>
              <w:rPr>
                <w:rFonts w:ascii="標楷體" w:eastAsia="標楷體" w:hAnsi="標楷體"/>
                <w:sz w:val="20"/>
              </w:rPr>
            </w:pPr>
            <w:r w:rsidRPr="00E144D6">
              <w:rPr>
                <w:rFonts w:ascii="標楷體" w:eastAsia="標楷體" w:hAnsi="標楷體" w:hint="eastAsia"/>
                <w:sz w:val="20"/>
              </w:rPr>
              <w:t>十、因可歸責於廠商之事由，致延誤履約期限，情節重大者。</w:t>
            </w:r>
          </w:p>
          <w:p w:rsidR="00D33F16" w:rsidRPr="00E144D6" w:rsidRDefault="00D33F16" w:rsidP="00E144D6">
            <w:pPr>
              <w:pStyle w:val="220"/>
              <w:spacing w:line="240" w:lineRule="exact"/>
              <w:ind w:left="592" w:hanging="540"/>
              <w:rPr>
                <w:rFonts w:ascii="標楷體" w:eastAsia="標楷體" w:hAnsi="標楷體"/>
                <w:sz w:val="20"/>
              </w:rPr>
            </w:pPr>
            <w:r w:rsidRPr="00E144D6">
              <w:rPr>
                <w:rFonts w:ascii="標楷體" w:eastAsia="標楷體" w:hAnsi="標楷體" w:hint="eastAsia"/>
                <w:sz w:val="20"/>
              </w:rPr>
              <w:t>十一、違反第65條之規定</w:t>
            </w:r>
            <w:proofErr w:type="gramStart"/>
            <w:r w:rsidRPr="00E144D6">
              <w:rPr>
                <w:rFonts w:ascii="標楷體" w:eastAsia="標楷體" w:hAnsi="標楷體" w:hint="eastAsia"/>
                <w:sz w:val="20"/>
              </w:rPr>
              <w:t>轉包者</w:t>
            </w:r>
            <w:proofErr w:type="gramEnd"/>
            <w:r w:rsidRPr="00E144D6">
              <w:rPr>
                <w:rFonts w:ascii="標楷體" w:eastAsia="標楷體" w:hAnsi="標楷體" w:hint="eastAsia"/>
                <w:sz w:val="20"/>
              </w:rPr>
              <w:t>。</w:t>
            </w:r>
          </w:p>
          <w:p w:rsidR="00D33F16" w:rsidRPr="00E144D6" w:rsidRDefault="00D33F16" w:rsidP="00E144D6">
            <w:pPr>
              <w:pStyle w:val="220"/>
              <w:spacing w:line="240" w:lineRule="exact"/>
              <w:ind w:left="752" w:hanging="700"/>
              <w:rPr>
                <w:rFonts w:ascii="標楷體" w:eastAsia="標楷體" w:hAnsi="標楷體"/>
                <w:sz w:val="20"/>
              </w:rPr>
            </w:pPr>
            <w:r w:rsidRPr="00E144D6">
              <w:rPr>
                <w:rFonts w:ascii="標楷體" w:eastAsia="標楷體" w:hAnsi="標楷體" w:hint="eastAsia"/>
                <w:sz w:val="20"/>
              </w:rPr>
              <w:t>十二、因可歸責於廠商之事由，致解除或終止契約者。</w:t>
            </w:r>
          </w:p>
          <w:p w:rsidR="00D33F16" w:rsidRPr="00E144D6" w:rsidRDefault="00D33F16" w:rsidP="00E144D6">
            <w:pPr>
              <w:pStyle w:val="230"/>
              <w:spacing w:line="240" w:lineRule="exact"/>
              <w:ind w:left="1052" w:hanging="1040"/>
              <w:rPr>
                <w:rFonts w:ascii="標楷體" w:eastAsia="標楷體" w:hAnsi="標楷體"/>
                <w:bCs/>
                <w:sz w:val="20"/>
              </w:rPr>
            </w:pPr>
            <w:r w:rsidRPr="00E144D6">
              <w:rPr>
                <w:rFonts w:ascii="標楷體" w:eastAsia="標楷體" w:hAnsi="標楷體" w:hint="eastAsia"/>
                <w:bCs/>
                <w:sz w:val="20"/>
              </w:rPr>
              <w:t>十三、</w:t>
            </w:r>
            <w:r w:rsidRPr="00E144D6">
              <w:rPr>
                <w:rFonts w:ascii="標楷體" w:eastAsia="標楷體" w:hAnsi="標楷體" w:hint="eastAsia"/>
                <w:sz w:val="20"/>
              </w:rPr>
              <w:t>破產程序中之廠商。</w:t>
            </w:r>
          </w:p>
          <w:p w:rsidR="00D33F16" w:rsidRPr="00E144D6" w:rsidRDefault="00D33F16" w:rsidP="00E144D6">
            <w:pPr>
              <w:spacing w:line="240" w:lineRule="exact"/>
              <w:ind w:left="732" w:hanging="720"/>
              <w:rPr>
                <w:rFonts w:ascii="標楷體" w:eastAsia="標楷體" w:hAnsi="標楷體" w:hint="eastAsia"/>
                <w:sz w:val="20"/>
                <w:szCs w:val="20"/>
              </w:rPr>
            </w:pPr>
            <w:r w:rsidRPr="00E144D6">
              <w:rPr>
                <w:rFonts w:ascii="標楷體" w:eastAsia="標楷體" w:hAnsi="標楷體" w:hint="eastAsia"/>
                <w:sz w:val="20"/>
                <w:szCs w:val="20"/>
              </w:rPr>
              <w:t>十四、歧視婦女、原住民或弱勢團體人士，情節重大者。</w:t>
            </w:r>
          </w:p>
          <w:p w:rsidR="00D33F16" w:rsidRPr="00E144D6" w:rsidRDefault="00D33F16" w:rsidP="00E144D6">
            <w:pPr>
              <w:spacing w:line="240" w:lineRule="exact"/>
              <w:ind w:leftChars="38" w:left="91"/>
              <w:rPr>
                <w:rFonts w:ascii="標楷體" w:eastAsia="標楷體" w:hAnsi="標楷體" w:hint="eastAsia"/>
                <w:sz w:val="20"/>
                <w:szCs w:val="20"/>
              </w:rPr>
            </w:pPr>
            <w:r w:rsidRPr="00E144D6">
              <w:rPr>
                <w:rFonts w:ascii="標楷體" w:eastAsia="標楷體" w:hAnsi="標楷體" w:hint="eastAsia"/>
                <w:sz w:val="20"/>
                <w:szCs w:val="20"/>
              </w:rPr>
              <w:t>廠商之履約連帶保證廠商經機關通知履行連帶保證責任者，適用前項之規定。</w:t>
            </w:r>
          </w:p>
        </w:tc>
        <w:tc>
          <w:tcPr>
            <w:tcW w:w="1904" w:type="pct"/>
          </w:tcPr>
          <w:p w:rsidR="00D33F16" w:rsidRPr="00E144D6" w:rsidRDefault="00D33F16" w:rsidP="00E144D6">
            <w:pPr>
              <w:pStyle w:val="27"/>
              <w:spacing w:line="240" w:lineRule="exact"/>
              <w:ind w:left="0" w:firstLine="0"/>
              <w:rPr>
                <w:rFonts w:ascii="標楷體" w:eastAsia="標楷體" w:hAnsi="標楷體"/>
                <w:sz w:val="20"/>
                <w:u w:val="single"/>
              </w:rPr>
            </w:pPr>
            <w:r w:rsidRPr="00E144D6">
              <w:rPr>
                <w:rFonts w:ascii="標楷體" w:eastAsia="標楷體" w:hAnsi="標楷體" w:hint="eastAsia"/>
                <w:sz w:val="20"/>
              </w:rPr>
              <w:t>經刊登政府採購公報者，於1年或3年內，不得參加投標或作為決標對象或分包廠商。</w:t>
            </w:r>
          </w:p>
          <w:p w:rsidR="00D33F16" w:rsidRPr="00E144D6" w:rsidRDefault="00D33F16" w:rsidP="00E144D6">
            <w:pPr>
              <w:spacing w:line="240" w:lineRule="exact"/>
              <w:rPr>
                <w:rFonts w:ascii="標楷體" w:eastAsia="標楷體" w:hAnsi="標楷體" w:hint="eastAsia"/>
                <w:sz w:val="20"/>
                <w:szCs w:val="20"/>
              </w:rPr>
            </w:pPr>
          </w:p>
        </w:tc>
      </w:tr>
      <w:tr w:rsidR="00D33F16" w:rsidRPr="00E144D6">
        <w:tblPrEx>
          <w:tblCellMar>
            <w:top w:w="0" w:type="dxa"/>
            <w:bottom w:w="0" w:type="dxa"/>
          </w:tblCellMar>
        </w:tblPrEx>
        <w:trPr>
          <w:cantSplit/>
          <w:tblHeader/>
        </w:trPr>
        <w:tc>
          <w:tcPr>
            <w:tcW w:w="594" w:type="pct"/>
            <w:vMerge w:val="restar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營造業法</w:t>
            </w: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w:t>
            </w:r>
          </w:p>
          <w:p w:rsidR="00D33F16" w:rsidRPr="00E144D6" w:rsidRDefault="00D33F16"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土木包工業違反越區營業規定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第57條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違反申請書變更規定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處新臺幣2萬元以上10萬元以下罰鍰；並限期依規定申請變更登記。屆期不申請者，予以3個月以上1年以下停業處分。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第18條第2項、第56條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未依限辦理主管機關通知之補正事項</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第19條第2項、第57條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違反承攬工程手冊變動規定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處新臺幣2萬元以上10萬元以下罰鍰；並限期依規定申請變更登記。屆期不申請者，予以3個月以上1年以下停業處分。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第23條第1項、第56條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違反承攬造價限額、工程規模範圍及承攬總額</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未依照工程圖樣及說明書製作工地現場施工製造圖及施工計畫書，負責施工</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第28條、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第58條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違反營造業負責人設置規定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處新臺幣20萬元以上1百萬元以下罰鍰，並通知該營造業限期辦理解任。屆期不辦理者，對該</w:t>
            </w:r>
            <w:proofErr w:type="gramStart"/>
            <w:r w:rsidRPr="00E144D6">
              <w:rPr>
                <w:rFonts w:ascii="標楷體" w:eastAsia="標楷體" w:hAnsi="標楷體" w:hint="eastAsia"/>
                <w:sz w:val="20"/>
              </w:rPr>
              <w:t>營造業處新</w:t>
            </w:r>
            <w:proofErr w:type="gramEnd"/>
            <w:r w:rsidRPr="00E144D6">
              <w:rPr>
                <w:rFonts w:ascii="標楷體" w:eastAsia="標楷體" w:hAnsi="標楷體" w:hint="eastAsia"/>
                <w:sz w:val="20"/>
              </w:rPr>
              <w:t>臺幣20萬元以上1百萬元以下罰鍰。並得繼續通知該營造業辦理解任，屆期仍不辦理者，得按次連續處罰。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第29條、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第53條</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proofErr w:type="gramStart"/>
            <w:r w:rsidRPr="00E144D6">
              <w:rPr>
                <w:rFonts w:ascii="標楷體" w:eastAsia="標楷體" w:hAnsi="標楷體" w:hint="eastAsia"/>
                <w:sz w:val="20"/>
              </w:rPr>
              <w:t>技術士未於</w:t>
            </w:r>
            <w:proofErr w:type="gramEnd"/>
            <w:r w:rsidRPr="00E144D6">
              <w:rPr>
                <w:rFonts w:ascii="標楷體" w:eastAsia="標楷體" w:hAnsi="標楷體" w:hint="eastAsia"/>
                <w:sz w:val="20"/>
              </w:rPr>
              <w:t>工地現場依其專長技能及作業規範進行施工操作或品質控管，情節重大者</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予以3個月以上2年以下停止執行營造業業務之處分。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第30條第1項、第56條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違反工地主任設置規定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第32條第1項、第62條</w:t>
            </w:r>
          </w:p>
        </w:tc>
        <w:tc>
          <w:tcPr>
            <w:tcW w:w="1745" w:type="pct"/>
          </w:tcPr>
          <w:p w:rsidR="00D33F16" w:rsidRPr="00E144D6" w:rsidRDefault="00D33F16" w:rsidP="00E144D6">
            <w:pPr>
              <w:pStyle w:val="21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一、</w:t>
            </w:r>
            <w:r w:rsidRPr="00E144D6">
              <w:rPr>
                <w:rFonts w:ascii="標楷體" w:eastAsia="標楷體" w:hAnsi="標楷體"/>
                <w:sz w:val="20"/>
              </w:rPr>
              <w:t>依施工計畫書執行按圖施工。</w:t>
            </w:r>
          </w:p>
          <w:p w:rsidR="00D33F16" w:rsidRPr="00E144D6" w:rsidRDefault="00D33F16" w:rsidP="00E144D6">
            <w:pPr>
              <w:pStyle w:val="21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二、</w:t>
            </w:r>
            <w:r w:rsidRPr="00E144D6">
              <w:rPr>
                <w:rFonts w:ascii="標楷體" w:eastAsia="標楷體" w:hAnsi="標楷體"/>
                <w:sz w:val="20"/>
              </w:rPr>
              <w:t>按日填報施工日誌。</w:t>
            </w:r>
          </w:p>
          <w:p w:rsidR="00D33F16" w:rsidRPr="00E144D6" w:rsidRDefault="00D33F16" w:rsidP="00E144D6">
            <w:pPr>
              <w:pStyle w:val="21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三、</w:t>
            </w:r>
            <w:r w:rsidRPr="00E144D6">
              <w:rPr>
                <w:rFonts w:ascii="標楷體" w:eastAsia="標楷體" w:hAnsi="標楷體"/>
                <w:sz w:val="20"/>
              </w:rPr>
              <w:t>工地之人員、機具及材料等管理。</w:t>
            </w:r>
          </w:p>
          <w:p w:rsidR="00D33F16" w:rsidRPr="00E144D6" w:rsidRDefault="00D33F16" w:rsidP="00E144D6">
            <w:pPr>
              <w:pStyle w:val="21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四、</w:t>
            </w:r>
            <w:r w:rsidRPr="00E144D6">
              <w:rPr>
                <w:rFonts w:ascii="標楷體" w:eastAsia="標楷體" w:hAnsi="標楷體"/>
                <w:sz w:val="20"/>
              </w:rPr>
              <w:t>工地勞工安全衛生事項之督導、公共環境與安全之維護及其他工地行政事務。</w:t>
            </w:r>
          </w:p>
          <w:p w:rsidR="00D33F16" w:rsidRPr="00E144D6" w:rsidRDefault="00D33F16" w:rsidP="00E144D6">
            <w:pPr>
              <w:pStyle w:val="210"/>
              <w:spacing w:before="0" w:line="240" w:lineRule="exact"/>
              <w:ind w:left="400" w:hangingChars="200" w:hanging="400"/>
              <w:rPr>
                <w:rFonts w:ascii="標楷體" w:eastAsia="標楷體" w:hAnsi="標楷體" w:hint="eastAsia"/>
                <w:sz w:val="20"/>
              </w:rPr>
            </w:pPr>
            <w:r w:rsidRPr="00E144D6">
              <w:rPr>
                <w:rFonts w:ascii="標楷體" w:eastAsia="標楷體" w:hAnsi="標楷體" w:hint="eastAsia"/>
                <w:sz w:val="20"/>
              </w:rPr>
              <w:t>五、</w:t>
            </w:r>
            <w:r w:rsidRPr="00E144D6">
              <w:rPr>
                <w:rFonts w:ascii="標楷體" w:eastAsia="標楷體" w:hAnsi="標楷體"/>
                <w:sz w:val="20"/>
              </w:rPr>
              <w:t>工地遇緊急異常狀況之通報。</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按其情節輕重，予以警告或3個月以上1年以下停止執行營造業業務之處分。</w:t>
            </w:r>
          </w:p>
          <w:p w:rsidR="00D33F16" w:rsidRPr="00E144D6" w:rsidRDefault="00D33F16" w:rsidP="00E144D6">
            <w:pPr>
              <w:pStyle w:val="27"/>
              <w:spacing w:line="240" w:lineRule="exact"/>
              <w:ind w:left="0" w:firstLine="0"/>
              <w:rPr>
                <w:rFonts w:ascii="標楷體" w:eastAsia="標楷體" w:hAnsi="標楷體"/>
                <w:sz w:val="20"/>
              </w:rPr>
            </w:pPr>
            <w:r w:rsidRPr="00E144D6">
              <w:rPr>
                <w:rFonts w:ascii="標楷體" w:eastAsia="標楷體" w:hAnsi="標楷體" w:hint="eastAsia"/>
                <w:sz w:val="20"/>
              </w:rPr>
              <w:t>營造業工地主任經依前項規定受警告處分3次者，予以3個月以上1年以下停止執行營造業業務之處分；受停止執行營造業業務處分期間累計滿3年者，廢止其工地主任執業證。</w:t>
            </w:r>
          </w:p>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前項工地主任執業證自廢止之日起5年內，其工地主任不得重新申請執業證。</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第33條第1項、第56條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違反技術士設置規定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第36條、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第63條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土木包工業負責人違反應負責辦理之工作</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按其情節輕重，予以該土木包工業3個月以上2年以下停業處分。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第37條第2項、第59條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營造業負責人未盡告知</w:t>
            </w:r>
            <w:proofErr w:type="gramStart"/>
            <w:r w:rsidRPr="00E144D6">
              <w:rPr>
                <w:rFonts w:ascii="標楷體" w:eastAsia="標楷體" w:hAnsi="標楷體" w:hint="eastAsia"/>
                <w:sz w:val="20"/>
              </w:rPr>
              <w:t>定作</w:t>
            </w:r>
            <w:proofErr w:type="gramEnd"/>
            <w:r w:rsidRPr="00E144D6">
              <w:rPr>
                <w:rFonts w:ascii="標楷體" w:eastAsia="標楷體" w:hAnsi="標楷體" w:hint="eastAsia"/>
                <w:sz w:val="20"/>
              </w:rPr>
              <w:t>人義務或適時處理</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處新臺幣5萬元以上50萬元以下罰鍰。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第38條、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第59條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營造業負責人未即時為必要之避免危險措施</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處新臺幣5萬元以上50萬元以下罰鍰。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第39條</w:t>
            </w:r>
          </w:p>
        </w:tc>
        <w:tc>
          <w:tcPr>
            <w:tcW w:w="1745"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營造業負責人或專任工程人員違反第37條第1項、第2項或前條規定致生公共危險</w:t>
            </w:r>
          </w:p>
        </w:tc>
        <w:tc>
          <w:tcPr>
            <w:tcW w:w="1904"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視其情形分別依法負其責任</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第40條、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違反專任工程人員離職或因故不能執行業務之處置規定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第41條第1項、第62條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營造業工地主任違反工程主管或主辦機關於勘驗、查驗或驗收工程應辦理事項之規定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按其情節輕重，予以警告或3個月以上1年以下停止執行營造業業務之處分。</w:t>
            </w:r>
          </w:p>
          <w:p w:rsidR="00D33F16" w:rsidRPr="00E144D6" w:rsidRDefault="00D33F16" w:rsidP="00E144D6">
            <w:pPr>
              <w:pStyle w:val="27"/>
              <w:spacing w:line="240" w:lineRule="exact"/>
              <w:ind w:left="0" w:firstLine="0"/>
              <w:rPr>
                <w:rFonts w:ascii="標楷體" w:eastAsia="標楷體" w:hAnsi="標楷體"/>
                <w:sz w:val="20"/>
              </w:rPr>
            </w:pPr>
            <w:r w:rsidRPr="00E144D6">
              <w:rPr>
                <w:rFonts w:ascii="標楷體" w:eastAsia="標楷體" w:hAnsi="標楷體" w:hint="eastAsia"/>
                <w:sz w:val="20"/>
              </w:rPr>
              <w:t>營造業工地主任經依前項規定受警告處分3次者，予以3個月以上1年以下停止執行營造業業務之處分；受停止執行營造業業務處分期間累計滿3年者，廢止其工地主任執業證。</w:t>
            </w:r>
          </w:p>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前項工地主任執業證自廢止之日起5年內，其工地主任不得重新申請執業證。</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第42條第1項、第56條</w:t>
            </w:r>
          </w:p>
        </w:tc>
        <w:tc>
          <w:tcPr>
            <w:tcW w:w="1745" w:type="pct"/>
          </w:tcPr>
          <w:p w:rsidR="00D33F16" w:rsidRPr="00E144D6" w:rsidRDefault="00D33F16" w:rsidP="00E144D6">
            <w:pPr>
              <w:pStyle w:val="21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違反承攬工程手冊簽章證明或註記規定</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按其情節輕重，予以警告或3個月以上1年以下停業處分。</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第52條</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未經許可或經撤銷、廢止許可而經營營造業業務</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勒令其停業，並處新臺幣1百萬元以上1</w:t>
            </w:r>
            <w:proofErr w:type="gramStart"/>
            <w:r w:rsidRPr="00E144D6">
              <w:rPr>
                <w:rFonts w:ascii="標楷體" w:eastAsia="標楷體" w:hAnsi="標楷體" w:hint="eastAsia"/>
                <w:sz w:val="20"/>
              </w:rPr>
              <w:t>千萬</w:t>
            </w:r>
            <w:proofErr w:type="gramEnd"/>
            <w:r w:rsidRPr="00E144D6">
              <w:rPr>
                <w:rFonts w:ascii="標楷體" w:eastAsia="標楷體" w:hAnsi="標楷體" w:hint="eastAsia"/>
                <w:sz w:val="20"/>
              </w:rPr>
              <w:t>元以下罰鍰；其不遵從而繼續營業者，得連續處罰。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第54條</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sz w:val="20"/>
              </w:rPr>
              <w:t>使用他人之營造業登記證書或承攬工程手冊經營營造業業務者。</w:t>
            </w:r>
          </w:p>
          <w:p w:rsidR="00D33F16" w:rsidRPr="00E144D6" w:rsidRDefault="00D33F16" w:rsidP="00E144D6">
            <w:pPr>
              <w:pStyle w:val="210"/>
              <w:snapToGrid w:val="0"/>
              <w:spacing w:before="0" w:line="240" w:lineRule="exact"/>
              <w:ind w:left="0" w:firstLine="0"/>
              <w:rPr>
                <w:rFonts w:ascii="標楷體" w:eastAsia="標楷體" w:hAnsi="標楷體"/>
                <w:sz w:val="20"/>
              </w:rPr>
            </w:pPr>
            <w:r w:rsidRPr="00E144D6">
              <w:rPr>
                <w:rFonts w:ascii="標楷體" w:eastAsia="標楷體" w:hAnsi="標楷體"/>
                <w:sz w:val="20"/>
              </w:rPr>
              <w:t>將營造業登記證書或承攬工程手冊交由他人使用經營營造業業務者。</w:t>
            </w:r>
          </w:p>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sz w:val="20"/>
              </w:rPr>
              <w:t>停業期間再行承攬工程者。</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處新臺幣1百萬元以上5百萬元以下罰鍰，並廢止其許可。</w:t>
            </w:r>
          </w:p>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自廢止許可之日起5年內，其負責人不得重新申請營造業登記。</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Borders>
              <w:top w:val="single" w:sz="4" w:space="0" w:color="auto"/>
              <w:bottom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第55條</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第17條第1項</w:t>
            </w:r>
          </w:p>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第20條</w:t>
            </w:r>
          </w:p>
        </w:tc>
        <w:tc>
          <w:tcPr>
            <w:tcW w:w="1745" w:type="pct"/>
          </w:tcPr>
          <w:p w:rsidR="00D33F16" w:rsidRPr="00E144D6" w:rsidRDefault="00D33F16" w:rsidP="00E144D6">
            <w:pPr>
              <w:pStyle w:val="210"/>
              <w:snapToGrid w:val="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一、經許可後未領得營造業登記證或承攬工程手冊而經營營造業業務者。</w:t>
            </w:r>
          </w:p>
          <w:p w:rsidR="00D33F16" w:rsidRPr="00E144D6" w:rsidRDefault="00D33F16" w:rsidP="00E144D6">
            <w:pPr>
              <w:pStyle w:val="210"/>
              <w:snapToGrid w:val="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二、</w:t>
            </w:r>
            <w:r w:rsidRPr="00E144D6">
              <w:rPr>
                <w:rFonts w:ascii="標楷體" w:eastAsia="標楷體" w:hAnsi="標楷體"/>
                <w:sz w:val="20"/>
              </w:rPr>
              <w:t>未加入公會而經營營造業業務者。</w:t>
            </w:r>
          </w:p>
          <w:p w:rsidR="00D33F16" w:rsidRPr="00E144D6" w:rsidRDefault="00D33F16" w:rsidP="00E144D6">
            <w:pPr>
              <w:pStyle w:val="210"/>
              <w:snapToGrid w:val="0"/>
              <w:spacing w:before="0" w:line="240" w:lineRule="exact"/>
              <w:ind w:left="400" w:hangingChars="200" w:hanging="400"/>
              <w:rPr>
                <w:rFonts w:ascii="標楷體" w:eastAsia="標楷體" w:hAnsi="標楷體"/>
                <w:sz w:val="20"/>
              </w:rPr>
            </w:pPr>
            <w:r w:rsidRPr="00E144D6">
              <w:rPr>
                <w:rFonts w:ascii="標楷體" w:eastAsia="標楷體" w:hAnsi="標楷體" w:hint="eastAsia"/>
                <w:sz w:val="20"/>
              </w:rPr>
              <w:t>三、</w:t>
            </w:r>
            <w:r w:rsidRPr="00E144D6">
              <w:rPr>
                <w:rFonts w:ascii="標楷體" w:eastAsia="標楷體" w:hAnsi="標楷體"/>
                <w:sz w:val="20"/>
              </w:rPr>
              <w:t>未依第</w:t>
            </w:r>
            <w:r w:rsidRPr="00E144D6">
              <w:rPr>
                <w:rFonts w:ascii="標楷體" w:eastAsia="標楷體" w:hAnsi="標楷體" w:hint="eastAsia"/>
                <w:sz w:val="20"/>
              </w:rPr>
              <w:t>17</w:t>
            </w:r>
            <w:r w:rsidRPr="00E144D6">
              <w:rPr>
                <w:rFonts w:ascii="標楷體" w:eastAsia="標楷體" w:hAnsi="標楷體"/>
                <w:sz w:val="20"/>
              </w:rPr>
              <w:t>條第</w:t>
            </w:r>
            <w:r w:rsidRPr="00E144D6">
              <w:rPr>
                <w:rFonts w:ascii="標楷體" w:eastAsia="標楷體" w:hAnsi="標楷體" w:hint="eastAsia"/>
                <w:sz w:val="20"/>
              </w:rPr>
              <w:t>1</w:t>
            </w:r>
            <w:r w:rsidRPr="00E144D6">
              <w:rPr>
                <w:rFonts w:ascii="標楷體" w:eastAsia="標楷體" w:hAnsi="標楷體"/>
                <w:sz w:val="20"/>
              </w:rPr>
              <w:t>項規定，申請複查或拒絕、妨礙或規避抽查者。</w:t>
            </w:r>
          </w:p>
          <w:p w:rsidR="00D33F16" w:rsidRPr="00E144D6" w:rsidRDefault="00D33F16" w:rsidP="00E144D6">
            <w:pPr>
              <w:pStyle w:val="210"/>
              <w:snapToGrid w:val="0"/>
              <w:spacing w:before="0" w:line="240" w:lineRule="exact"/>
              <w:ind w:left="400" w:hangingChars="200" w:hanging="400"/>
              <w:rPr>
                <w:rFonts w:ascii="標楷體" w:eastAsia="標楷體" w:hAnsi="標楷體" w:hint="eastAsia"/>
                <w:sz w:val="20"/>
              </w:rPr>
            </w:pPr>
            <w:r w:rsidRPr="00E144D6">
              <w:rPr>
                <w:rFonts w:ascii="標楷體" w:eastAsia="標楷體" w:hAnsi="標楷體" w:hint="eastAsia"/>
                <w:sz w:val="20"/>
              </w:rPr>
              <w:t>四、</w:t>
            </w:r>
            <w:r w:rsidRPr="00E144D6">
              <w:rPr>
                <w:rFonts w:ascii="標楷體" w:eastAsia="標楷體" w:hAnsi="標楷體"/>
                <w:sz w:val="20"/>
              </w:rPr>
              <w:t>自行停業、受停業處分、復業或歇業時，未依第</w:t>
            </w:r>
            <w:r w:rsidRPr="00E144D6">
              <w:rPr>
                <w:rFonts w:ascii="標楷體" w:eastAsia="標楷體" w:hAnsi="標楷體" w:hint="eastAsia"/>
                <w:sz w:val="20"/>
              </w:rPr>
              <w:t>20</w:t>
            </w:r>
            <w:r w:rsidRPr="00E144D6">
              <w:rPr>
                <w:rFonts w:ascii="標楷體" w:eastAsia="標楷體" w:hAnsi="標楷體"/>
                <w:sz w:val="20"/>
              </w:rPr>
              <w:t>條規定辦理者。</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處新臺幣10萬元以上50萬元以下罰鍰。</w:t>
            </w:r>
          </w:p>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營造業有前項第1款或第2款情事者，並得勒令停業及通知限期補辦手續，屆期不</w:t>
            </w:r>
            <w:proofErr w:type="gramStart"/>
            <w:r w:rsidRPr="00E144D6">
              <w:rPr>
                <w:rFonts w:ascii="標楷體" w:eastAsia="標楷體" w:hAnsi="標楷體" w:hint="eastAsia"/>
                <w:sz w:val="20"/>
              </w:rPr>
              <w:t>補辦而繼續</w:t>
            </w:r>
            <w:proofErr w:type="gramEnd"/>
            <w:r w:rsidRPr="00E144D6">
              <w:rPr>
                <w:rFonts w:ascii="標楷體" w:eastAsia="標楷體" w:hAnsi="標楷體" w:hint="eastAsia"/>
                <w:sz w:val="20"/>
              </w:rPr>
              <w:t>營業者，得按次連續處罰。有前項第4款情事，經主管機關通知限期補辦手續，屆期不辦者，得按次連續處罰。</w:t>
            </w:r>
          </w:p>
        </w:tc>
      </w:tr>
      <w:tr w:rsidR="00D33F16" w:rsidRPr="00E144D6">
        <w:tblPrEx>
          <w:tblCellMar>
            <w:top w:w="0" w:type="dxa"/>
            <w:bottom w:w="0" w:type="dxa"/>
          </w:tblCellMar>
        </w:tblPrEx>
        <w:trPr>
          <w:cantSplit/>
          <w:tblHeader/>
        </w:trPr>
        <w:tc>
          <w:tcPr>
            <w:tcW w:w="594" w:type="pct"/>
            <w:vMerge/>
          </w:tcPr>
          <w:p w:rsidR="00D33F16" w:rsidRPr="00E144D6" w:rsidRDefault="00D33F16" w:rsidP="00E144D6">
            <w:pPr>
              <w:spacing w:line="240" w:lineRule="exact"/>
              <w:ind w:left="240" w:hanging="240"/>
              <w:rPr>
                <w:rFonts w:ascii="標楷體" w:eastAsia="標楷體" w:hAnsi="標楷體" w:hint="eastAsia"/>
                <w:sz w:val="20"/>
                <w:szCs w:val="20"/>
              </w:rPr>
            </w:pPr>
          </w:p>
        </w:tc>
        <w:tc>
          <w:tcPr>
            <w:tcW w:w="757" w:type="pct"/>
            <w:tcBorders>
              <w:top w:val="single" w:sz="4" w:space="0" w:color="auto"/>
            </w:tcBorders>
          </w:tcPr>
          <w:p w:rsidR="00D33F16" w:rsidRPr="00E144D6" w:rsidRDefault="00D33F16"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第56條第2項</w:t>
            </w:r>
          </w:p>
        </w:tc>
        <w:tc>
          <w:tcPr>
            <w:tcW w:w="1745" w:type="pct"/>
          </w:tcPr>
          <w:p w:rsidR="00D33F16" w:rsidRPr="00E144D6" w:rsidRDefault="00D33F16" w:rsidP="00E144D6">
            <w:pPr>
              <w:pStyle w:val="210"/>
              <w:snapToGrid w:val="0"/>
              <w:spacing w:before="0" w:line="240" w:lineRule="exact"/>
              <w:ind w:left="0" w:firstLine="0"/>
              <w:rPr>
                <w:rFonts w:ascii="標楷體" w:eastAsia="標楷體" w:hAnsi="標楷體" w:hint="eastAsia"/>
                <w:sz w:val="20"/>
              </w:rPr>
            </w:pPr>
            <w:r w:rsidRPr="00E144D6">
              <w:rPr>
                <w:rFonts w:ascii="標楷體" w:eastAsia="標楷體" w:hAnsi="標楷體" w:hint="eastAsia"/>
                <w:sz w:val="20"/>
              </w:rPr>
              <w:t>依本法受警告處分3次或於5年內受停業處分期間累計滿3年者</w:t>
            </w:r>
          </w:p>
        </w:tc>
        <w:tc>
          <w:tcPr>
            <w:tcW w:w="1904" w:type="pct"/>
          </w:tcPr>
          <w:p w:rsidR="00D33F16" w:rsidRPr="00E144D6" w:rsidRDefault="00D33F16" w:rsidP="00E144D6">
            <w:pPr>
              <w:pStyle w:val="27"/>
              <w:spacing w:line="240" w:lineRule="exact"/>
              <w:ind w:left="0" w:firstLine="0"/>
              <w:rPr>
                <w:rFonts w:ascii="標楷體" w:eastAsia="標楷體" w:hAnsi="標楷體" w:hint="eastAsia"/>
                <w:sz w:val="20"/>
              </w:rPr>
            </w:pPr>
            <w:r w:rsidRPr="00E144D6">
              <w:rPr>
                <w:rFonts w:ascii="標楷體" w:eastAsia="標楷體" w:hAnsi="標楷體" w:hint="eastAsia"/>
                <w:sz w:val="20"/>
              </w:rPr>
              <w:t>營造業受警告處分3次者，予以3個月以上1年以下停業處分；於5年內受停業處分期間累計滿3年者，廢止期許可。</w:t>
            </w:r>
          </w:p>
        </w:tc>
      </w:tr>
    </w:tbl>
    <w:p w:rsidR="00D33F16" w:rsidRPr="00E144D6" w:rsidRDefault="00D33F16" w:rsidP="00E144D6">
      <w:pPr>
        <w:snapToGrid w:val="0"/>
        <w:spacing w:line="240" w:lineRule="exact"/>
        <w:ind w:left="600" w:hangingChars="300" w:hanging="600"/>
        <w:rPr>
          <w:rFonts w:ascii="標楷體" w:eastAsia="標楷體" w:hAnsi="標楷體"/>
          <w:sz w:val="20"/>
          <w:szCs w:val="20"/>
        </w:rPr>
      </w:pPr>
      <w:r w:rsidRPr="00E144D6">
        <w:rPr>
          <w:rFonts w:ascii="標楷體" w:eastAsia="標楷體" w:hAnsi="標楷體" w:hint="eastAsia"/>
          <w:sz w:val="20"/>
          <w:szCs w:val="20"/>
        </w:rPr>
        <w:t>備註：其他各中央目的事業主管機關或地方政府所頒行之相關法規如</w:t>
      </w:r>
      <w:proofErr w:type="gramStart"/>
      <w:r w:rsidRPr="00E144D6">
        <w:rPr>
          <w:rFonts w:ascii="標楷體" w:eastAsia="標楷體" w:hAnsi="標楷體" w:hint="eastAsia"/>
          <w:sz w:val="20"/>
          <w:szCs w:val="20"/>
        </w:rPr>
        <w:t>勞</w:t>
      </w:r>
      <w:proofErr w:type="gramEnd"/>
      <w:r w:rsidRPr="00E144D6">
        <w:rPr>
          <w:rFonts w:ascii="標楷體" w:eastAsia="標楷體" w:hAnsi="標楷體" w:hint="eastAsia"/>
          <w:sz w:val="20"/>
          <w:szCs w:val="20"/>
        </w:rPr>
        <w:t>安衛、環保、水利、水保、共同管道、建築、鐵公路等另有規定者，依其規定辦理。</w:t>
      </w:r>
    </w:p>
    <w:p w:rsidR="00D33F16" w:rsidRPr="00E144D6" w:rsidRDefault="00D33F16" w:rsidP="00E144D6">
      <w:pPr>
        <w:spacing w:line="320" w:lineRule="exact"/>
        <w:rPr>
          <w:rFonts w:ascii="標楷體" w:eastAsia="標楷體" w:hAnsi="標楷體" w:hint="eastAsia"/>
        </w:rPr>
      </w:pPr>
      <w:r w:rsidRPr="00E144D6">
        <w:rPr>
          <w:rFonts w:ascii="標楷體" w:eastAsia="標楷體" w:hAnsi="標楷體"/>
          <w:sz w:val="20"/>
          <w:szCs w:val="20"/>
        </w:rPr>
        <w:br w:type="page"/>
      </w:r>
      <w:r w:rsidRPr="00E144D6">
        <w:rPr>
          <w:rFonts w:ascii="標楷體" w:eastAsia="標楷體" w:hAnsi="標楷體" w:hint="eastAsia"/>
        </w:rPr>
        <w:lastRenderedPageBreak/>
        <w:t>（四）其他法規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8"/>
        <w:gridCol w:w="1680"/>
        <w:gridCol w:w="3861"/>
        <w:gridCol w:w="3658"/>
      </w:tblGrid>
      <w:tr w:rsidR="00D33F16" w:rsidRPr="00E144D6">
        <w:tblPrEx>
          <w:tblCellMar>
            <w:top w:w="0" w:type="dxa"/>
            <w:bottom w:w="0" w:type="dxa"/>
          </w:tblCellMar>
        </w:tblPrEx>
        <w:tc>
          <w:tcPr>
            <w:tcW w:w="390" w:type="pct"/>
            <w:tcBorders>
              <w:top w:val="single" w:sz="4" w:space="0" w:color="auto"/>
              <w:bottom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法規</w:t>
            </w:r>
          </w:p>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名稱</w:t>
            </w:r>
          </w:p>
        </w:tc>
        <w:tc>
          <w:tcPr>
            <w:tcW w:w="842"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相關條項</w:t>
            </w:r>
          </w:p>
        </w:tc>
        <w:tc>
          <w:tcPr>
            <w:tcW w:w="1935"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 xml:space="preserve">法  </w:t>
            </w:r>
            <w:proofErr w:type="gramStart"/>
            <w:r w:rsidRPr="00E144D6">
              <w:rPr>
                <w:rFonts w:ascii="標楷體" w:eastAsia="標楷體" w:hAnsi="標楷體" w:hint="eastAsia"/>
                <w:sz w:val="20"/>
                <w:szCs w:val="20"/>
              </w:rPr>
              <w:t>規</w:t>
            </w:r>
            <w:proofErr w:type="gramEnd"/>
          </w:p>
        </w:tc>
        <w:tc>
          <w:tcPr>
            <w:tcW w:w="1833" w:type="pct"/>
            <w:tcBorders>
              <w:top w:val="single" w:sz="4" w:space="0" w:color="auto"/>
            </w:tcBorders>
          </w:tcPr>
          <w:p w:rsidR="00D33F16" w:rsidRPr="00E144D6" w:rsidRDefault="00D33F16" w:rsidP="00E144D6">
            <w:pPr>
              <w:spacing w:before="60" w:after="60" w:line="240" w:lineRule="exact"/>
              <w:jc w:val="center"/>
              <w:rPr>
                <w:rFonts w:ascii="標楷體" w:eastAsia="標楷體" w:hAnsi="標楷體" w:hint="eastAsia"/>
                <w:sz w:val="20"/>
                <w:szCs w:val="20"/>
              </w:rPr>
            </w:pPr>
            <w:r w:rsidRPr="00E144D6">
              <w:rPr>
                <w:rFonts w:ascii="標楷體" w:eastAsia="標楷體" w:hAnsi="標楷體" w:hint="eastAsia"/>
                <w:sz w:val="20"/>
                <w:szCs w:val="20"/>
              </w:rPr>
              <w:t>相關罰責</w:t>
            </w:r>
          </w:p>
        </w:tc>
      </w:tr>
      <w:tr w:rsidR="00CE08FE" w:rsidRPr="00E144D6">
        <w:tblPrEx>
          <w:tblCellMar>
            <w:top w:w="0" w:type="dxa"/>
            <w:bottom w:w="0" w:type="dxa"/>
          </w:tblCellMar>
        </w:tblPrEx>
        <w:tc>
          <w:tcPr>
            <w:tcW w:w="390" w:type="pct"/>
            <w:vMerge w:val="restar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政治獻金法</w:t>
            </w:r>
          </w:p>
        </w:tc>
        <w:tc>
          <w:tcPr>
            <w:tcW w:w="842" w:type="pc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第6條、第28條</w:t>
            </w:r>
          </w:p>
        </w:tc>
        <w:tc>
          <w:tcPr>
            <w:tcW w:w="1935" w:type="pct"/>
            <w:tcBorders>
              <w:top w:val="single" w:sz="4" w:space="0" w:color="auto"/>
            </w:tcBorders>
          </w:tcPr>
          <w:p w:rsidR="00CE08FE" w:rsidRPr="00E144D6" w:rsidRDefault="00CE08FE" w:rsidP="00E144D6">
            <w:p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任何人不得利用職務上之權力、</w:t>
            </w:r>
            <w:proofErr w:type="gramStart"/>
            <w:r w:rsidRPr="00E144D6">
              <w:rPr>
                <w:rFonts w:ascii="標楷體" w:eastAsia="標楷體" w:hAnsi="標楷體" w:hint="eastAsia"/>
                <w:sz w:val="20"/>
                <w:szCs w:val="20"/>
              </w:rPr>
              <w:t>僱</w:t>
            </w:r>
            <w:proofErr w:type="gramEnd"/>
            <w:r w:rsidRPr="00E144D6">
              <w:rPr>
                <w:rFonts w:ascii="標楷體" w:eastAsia="標楷體" w:hAnsi="標楷體" w:hint="eastAsia"/>
                <w:sz w:val="20"/>
                <w:szCs w:val="20"/>
              </w:rPr>
              <w:t>傭關係或其他生計上之利害，媒介或妨害政治獻金之捐贈。</w:t>
            </w:r>
          </w:p>
        </w:tc>
        <w:tc>
          <w:tcPr>
            <w:tcW w:w="1833" w:type="pct"/>
            <w:tcBorders>
              <w:top w:val="single" w:sz="4" w:space="0" w:color="auto"/>
            </w:tcBorders>
          </w:tcPr>
          <w:p w:rsidR="00CE08FE" w:rsidRPr="00E144D6" w:rsidRDefault="00CE08FE" w:rsidP="00E144D6">
            <w:pPr>
              <w:spacing w:line="240" w:lineRule="exact"/>
              <w:ind w:left="200" w:hangingChars="100" w:hanging="200"/>
              <w:rPr>
                <w:rFonts w:ascii="標楷體" w:eastAsia="標楷體" w:hAnsi="標楷體" w:hint="eastAsia"/>
                <w:sz w:val="20"/>
                <w:szCs w:val="20"/>
              </w:rPr>
            </w:pPr>
            <w:r w:rsidRPr="00E144D6">
              <w:rPr>
                <w:rFonts w:ascii="標楷體" w:eastAsia="標楷體" w:hAnsi="標楷體" w:hint="eastAsia"/>
                <w:sz w:val="20"/>
                <w:szCs w:val="20"/>
              </w:rPr>
              <w:t>1.處新臺幣20萬元以上1百萬元以下罰鍰。</w:t>
            </w:r>
          </w:p>
          <w:p w:rsidR="00CE08FE" w:rsidRPr="00E144D6" w:rsidRDefault="00CE08FE" w:rsidP="00E144D6">
            <w:pPr>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2.公務員違反第6條規定者，處1年以下有期徒刑。</w:t>
            </w:r>
          </w:p>
        </w:tc>
      </w:tr>
      <w:tr w:rsidR="00CE08FE" w:rsidRPr="00E144D6">
        <w:tblPrEx>
          <w:tblCellMar>
            <w:top w:w="0" w:type="dxa"/>
            <w:bottom w:w="0" w:type="dxa"/>
          </w:tblCellMar>
        </w:tblPrEx>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第7條第1項、第29條第2項</w:t>
            </w:r>
          </w:p>
          <w:p w:rsidR="00CE08FE" w:rsidRPr="00E144D6" w:rsidRDefault="00CE08FE" w:rsidP="00E144D6">
            <w:pPr>
              <w:spacing w:line="240" w:lineRule="exact"/>
              <w:rPr>
                <w:rFonts w:ascii="標楷體" w:eastAsia="標楷體" w:hAnsi="標楷體" w:hint="eastAsia"/>
                <w:sz w:val="20"/>
                <w:szCs w:val="20"/>
              </w:rPr>
            </w:pPr>
          </w:p>
        </w:tc>
        <w:tc>
          <w:tcPr>
            <w:tcW w:w="1935" w:type="pct"/>
            <w:tcBorders>
              <w:top w:val="single" w:sz="4" w:space="0" w:color="auto"/>
            </w:tcBorders>
          </w:tcPr>
          <w:p w:rsidR="00CE08FE" w:rsidRPr="00E144D6" w:rsidRDefault="00CE08FE" w:rsidP="00E14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E144D6">
              <w:rPr>
                <w:rFonts w:ascii="標楷體" w:eastAsia="標楷體" w:hAnsi="標楷體" w:cs="細明體" w:hint="eastAsia"/>
                <w:kern w:val="0"/>
                <w:sz w:val="20"/>
                <w:szCs w:val="20"/>
              </w:rPr>
              <w:t>得捐贈政治獻金者，以下列各款以外之個人、政黨、人民團體及營利事業</w:t>
            </w:r>
            <w:r w:rsidRPr="00E144D6">
              <w:rPr>
                <w:rFonts w:ascii="標楷體" w:eastAsia="標楷體" w:hAnsi="標楷體" w:cs="新細明體" w:hint="eastAsia"/>
                <w:kern w:val="0"/>
                <w:sz w:val="20"/>
                <w:szCs w:val="20"/>
              </w:rPr>
              <w:t>為限</w:t>
            </w:r>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一、公營事業或政府持有資本達20%之民營企業。</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二、與政府機關</w:t>
            </w:r>
            <w:r w:rsidRPr="00E144D6">
              <w:rPr>
                <w:rFonts w:ascii="標楷體" w:eastAsia="標楷體" w:hAnsi="標楷體"/>
                <w:sz w:val="20"/>
                <w:szCs w:val="20"/>
              </w:rPr>
              <w:t xml:space="preserve"> (構) 有巨額採購或重大公共建設投資契約，且在履約期間之廠商。</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三、有累積虧損尚未依規定彌補之營利事業。</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四、</w:t>
            </w:r>
            <w:r w:rsidRPr="00E144D6">
              <w:rPr>
                <w:rFonts w:ascii="標楷體" w:eastAsia="標楷體" w:hAnsi="標楷體"/>
                <w:sz w:val="20"/>
                <w:szCs w:val="20"/>
              </w:rPr>
              <w:t>宗教團體</w:t>
            </w:r>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五、</w:t>
            </w:r>
            <w:proofErr w:type="gramStart"/>
            <w:r w:rsidRPr="00E144D6">
              <w:rPr>
                <w:rFonts w:ascii="標楷體" w:eastAsia="標楷體" w:hAnsi="標楷體" w:hint="eastAsia"/>
                <w:sz w:val="20"/>
                <w:szCs w:val="20"/>
              </w:rPr>
              <w:t>•</w:t>
            </w:r>
            <w:proofErr w:type="gramEnd"/>
            <w:r w:rsidRPr="00E144D6">
              <w:rPr>
                <w:rFonts w:ascii="標楷體" w:eastAsia="標楷體" w:hAnsi="標楷體" w:hint="eastAsia"/>
                <w:sz w:val="20"/>
                <w:szCs w:val="20"/>
              </w:rPr>
              <w:t>••。</w:t>
            </w:r>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proofErr w:type="gramStart"/>
            <w:r w:rsidRPr="00E144D6">
              <w:rPr>
                <w:rFonts w:ascii="標楷體" w:eastAsia="標楷體" w:hAnsi="標楷體" w:hint="eastAsia"/>
                <w:sz w:val="20"/>
                <w:szCs w:val="20"/>
              </w:rPr>
              <w:t>•</w:t>
            </w:r>
            <w:proofErr w:type="gramEnd"/>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十一、</w:t>
            </w:r>
            <w:proofErr w:type="gramStart"/>
            <w:r w:rsidRPr="00E144D6">
              <w:rPr>
                <w:rFonts w:ascii="標楷體" w:eastAsia="標楷體" w:hAnsi="標楷體" w:hint="eastAsia"/>
                <w:sz w:val="20"/>
                <w:szCs w:val="20"/>
              </w:rPr>
              <w:t>•</w:t>
            </w:r>
            <w:proofErr w:type="gramEnd"/>
            <w:r w:rsidRPr="00E144D6">
              <w:rPr>
                <w:rFonts w:ascii="標楷體" w:eastAsia="標楷體" w:hAnsi="標楷體" w:hint="eastAsia"/>
                <w:sz w:val="20"/>
                <w:szCs w:val="20"/>
              </w:rPr>
              <w:t>••。</w:t>
            </w:r>
          </w:p>
        </w:tc>
        <w:tc>
          <w:tcPr>
            <w:tcW w:w="1833" w:type="pct"/>
            <w:tcBorders>
              <w:top w:val="single" w:sz="4" w:space="0" w:color="auto"/>
            </w:tcBorders>
          </w:tcPr>
          <w:p w:rsidR="00CE08FE" w:rsidRPr="00E144D6" w:rsidRDefault="00CE08FE" w:rsidP="00E144D6">
            <w:pPr>
              <w:pStyle w:val="HTML0"/>
              <w:spacing w:line="240" w:lineRule="exact"/>
              <w:rPr>
                <w:rFonts w:ascii="標楷體" w:eastAsia="標楷體" w:hAnsi="標楷體" w:hint="eastAsia"/>
                <w:sz w:val="20"/>
                <w:szCs w:val="20"/>
              </w:rPr>
            </w:pPr>
            <w:r w:rsidRPr="00E144D6">
              <w:rPr>
                <w:rFonts w:ascii="標楷體" w:eastAsia="標楷體" w:hAnsi="標楷體" w:hint="eastAsia"/>
                <w:sz w:val="20"/>
                <w:szCs w:val="20"/>
              </w:rPr>
              <w:t>違反第7條第1項捐贈政治獻金者，按其捐贈之金額處2倍之罰鍰。但最高不得超過新臺幣1百萬元。</w:t>
            </w:r>
          </w:p>
          <w:p w:rsidR="00CE08FE" w:rsidRPr="00E144D6" w:rsidRDefault="00CE08FE" w:rsidP="00E144D6">
            <w:pPr>
              <w:spacing w:line="240" w:lineRule="exact"/>
              <w:jc w:val="both"/>
              <w:rPr>
                <w:rFonts w:ascii="標楷體" w:eastAsia="標楷體" w:hAnsi="標楷體" w:hint="eastAsia"/>
                <w:sz w:val="20"/>
                <w:szCs w:val="20"/>
              </w:rPr>
            </w:pPr>
          </w:p>
        </w:tc>
      </w:tr>
      <w:tr w:rsidR="00CE08FE" w:rsidRPr="00E144D6">
        <w:tblPrEx>
          <w:tblCellMar>
            <w:top w:w="0" w:type="dxa"/>
            <w:bottom w:w="0" w:type="dxa"/>
          </w:tblCellMar>
        </w:tblPrEx>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第8條、第25條</w:t>
            </w:r>
          </w:p>
        </w:tc>
        <w:tc>
          <w:tcPr>
            <w:tcW w:w="1935" w:type="pct"/>
            <w:tcBorders>
              <w:top w:val="single" w:sz="4" w:space="0" w:color="auto"/>
            </w:tcBorders>
          </w:tcPr>
          <w:p w:rsidR="00CE08FE" w:rsidRPr="00E144D6" w:rsidRDefault="00CE08FE" w:rsidP="00E14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hint="eastAsia"/>
                <w:kern w:val="0"/>
                <w:sz w:val="20"/>
                <w:szCs w:val="20"/>
              </w:rPr>
            </w:pPr>
            <w:r w:rsidRPr="00E144D6">
              <w:rPr>
                <w:rFonts w:ascii="標楷體" w:eastAsia="標楷體" w:hAnsi="標楷體" w:cs="細明體" w:hint="eastAsia"/>
                <w:kern w:val="0"/>
                <w:sz w:val="20"/>
                <w:szCs w:val="20"/>
              </w:rPr>
              <w:t>政黨、政治團體及擬參選人不得收受前條所定得捐贈者以外對象之政治獻</w:t>
            </w:r>
            <w:r w:rsidRPr="00E144D6">
              <w:rPr>
                <w:rFonts w:ascii="標楷體" w:eastAsia="標楷體" w:hAnsi="標楷體" w:cs="新細明體" w:hint="eastAsia"/>
                <w:kern w:val="0"/>
                <w:sz w:val="20"/>
                <w:szCs w:val="20"/>
              </w:rPr>
              <w:t>金。</w:t>
            </w:r>
          </w:p>
        </w:tc>
        <w:tc>
          <w:tcPr>
            <w:tcW w:w="1833" w:type="pct"/>
            <w:tcBorders>
              <w:top w:val="single" w:sz="4" w:space="0" w:color="auto"/>
            </w:tcBorders>
          </w:tcPr>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1.擬參選人違反第8條規定收受第7條第1項第7款至第9款規定對象之政治獻金，未依第15條規定之期限繳交受理申報機關辦理繳庫，或違反第13條規定募集政治獻金者，處5年以下有期徒刑；為擬參選人收受或募集政治獻金之代理人、受雇人亦同。</w:t>
            </w:r>
          </w:p>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2.政黨、政治團體之負責人、代表人或代理人、受雇人犯前項之罪者，依前項之規定處罰。</w:t>
            </w:r>
          </w:p>
          <w:p w:rsidR="00CE08FE" w:rsidRPr="00E144D6" w:rsidRDefault="00CE08FE" w:rsidP="00E144D6">
            <w:pPr>
              <w:pStyle w:val="HTML0"/>
              <w:spacing w:line="240" w:lineRule="exact"/>
              <w:ind w:left="200" w:hangingChars="100" w:hanging="200"/>
              <w:jc w:val="both"/>
              <w:rPr>
                <w:rFonts w:ascii="標楷體" w:eastAsia="標楷體" w:hAnsi="標楷體" w:hint="eastAsia"/>
                <w:sz w:val="20"/>
                <w:szCs w:val="20"/>
              </w:rPr>
            </w:pPr>
            <w:r w:rsidRPr="00E144D6">
              <w:rPr>
                <w:rFonts w:ascii="標楷體" w:eastAsia="標楷體" w:hAnsi="標楷體" w:hint="eastAsia"/>
                <w:sz w:val="20"/>
                <w:szCs w:val="20"/>
              </w:rPr>
              <w:t>3.犯第25條第1項、第2項之罪者，其收受之政治獻金，沒收之；如全部或一部不能沒收時，追徵其價額。</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第9條第1項、第29條第1項</w:t>
            </w:r>
          </w:p>
          <w:p w:rsidR="00CE08FE" w:rsidRPr="00E144D6" w:rsidRDefault="00CE08FE" w:rsidP="00E144D6">
            <w:pPr>
              <w:spacing w:line="240" w:lineRule="exact"/>
              <w:rPr>
                <w:rFonts w:ascii="標楷體" w:eastAsia="標楷體" w:hAnsi="標楷體" w:hint="eastAsia"/>
                <w:sz w:val="20"/>
                <w:szCs w:val="20"/>
              </w:rPr>
            </w:pP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政治獻金之捐贈，不得行求或期約不當利益。</w:t>
            </w:r>
          </w:p>
        </w:tc>
        <w:tc>
          <w:tcPr>
            <w:tcW w:w="1833"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捐贈政治獻金者，按其捐贈之金額處2倍之罰鍰。但最高不得超過新臺幣1百萬元。</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第9條第2項、第27條</w:t>
            </w:r>
          </w:p>
          <w:p w:rsidR="00CE08FE" w:rsidRPr="00E144D6" w:rsidRDefault="00CE08FE" w:rsidP="00E144D6">
            <w:pPr>
              <w:spacing w:line="240" w:lineRule="exact"/>
              <w:rPr>
                <w:rFonts w:ascii="標楷體" w:eastAsia="標楷體" w:hAnsi="標楷體" w:hint="eastAsia"/>
                <w:sz w:val="20"/>
                <w:szCs w:val="20"/>
              </w:rPr>
            </w:pP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前項（第9條第1項）之政治獻金，政黨、政治團體及擬參選人亦不得收受。</w:t>
            </w:r>
          </w:p>
        </w:tc>
        <w:tc>
          <w:tcPr>
            <w:tcW w:w="1833" w:type="pct"/>
          </w:tcPr>
          <w:p w:rsidR="00CE08FE" w:rsidRPr="00E144D6" w:rsidRDefault="00CE08FE" w:rsidP="00E144D6">
            <w:pPr>
              <w:numPr>
                <w:ilvl w:val="0"/>
                <w:numId w:val="29"/>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收受政治獻金者，按其收受金額處2倍之罰鍰。</w:t>
            </w:r>
          </w:p>
          <w:p w:rsidR="00CE08FE" w:rsidRPr="00E144D6" w:rsidRDefault="00CE08FE" w:rsidP="00E144D6">
            <w:pPr>
              <w:numPr>
                <w:ilvl w:val="0"/>
                <w:numId w:val="29"/>
              </w:numPr>
              <w:spacing w:line="240" w:lineRule="exact"/>
              <w:jc w:val="both"/>
              <w:rPr>
                <w:rFonts w:ascii="標楷體" w:eastAsia="標楷體" w:hAnsi="標楷體" w:hint="eastAsia"/>
                <w:sz w:val="20"/>
                <w:szCs w:val="20"/>
              </w:rPr>
            </w:pPr>
            <w:r w:rsidRPr="00E144D6">
              <w:rPr>
                <w:rFonts w:ascii="標楷體" w:eastAsia="標楷體" w:hAnsi="標楷體"/>
                <w:sz w:val="20"/>
                <w:szCs w:val="20"/>
              </w:rPr>
              <w:t>違法收受之政治獻金，沒入之；如全部或一部不能沒入時，追徵其價額。</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第14條、第29條第2項</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任何人不得以本人以外之名義捐贈或為超過新臺幣1萬元之匿名捐贈。</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超過新臺幣10萬元現金捐贈，應以支票或經由金融機構匯款為之。</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捐贈政治獻金者，按其捐贈之金額處2倍之罰鍰。</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第17條、第29條第2項</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對同一政黨、政治團體每年捐贈總額，不得超過下列金額：</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一、個人：新臺幣30萬元。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二、營利事業：新臺幣3百萬元。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三、人民團體：新臺幣2百萬元。</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對不同政黨、政治團體每年捐贈總額，合計不得超過下列金額：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一、個人：新臺幣60萬元。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二、營利事業：新臺幣6百萬元。</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三、人民團體：新臺幣4百萬元。</w:t>
            </w:r>
          </w:p>
        </w:tc>
        <w:tc>
          <w:tcPr>
            <w:tcW w:w="1833"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捐贈政治獻金者，按其捐贈之金額處2倍之罰鍰。但最高不得超過新臺幣1百萬元。</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w:t>
            </w:r>
          </w:p>
        </w:tc>
      </w:tr>
      <w:tr w:rsidR="00CE08FE" w:rsidRPr="00E144D6">
        <w:tblPrEx>
          <w:tblCellMar>
            <w:top w:w="0" w:type="dxa"/>
            <w:bottom w:w="0" w:type="dxa"/>
          </w:tblCellMar>
        </w:tblPrEx>
        <w:trPr>
          <w:cantSplit/>
          <w:trHeight w:val="670"/>
        </w:trPr>
        <w:tc>
          <w:tcPr>
            <w:tcW w:w="390" w:type="pct"/>
            <w:vMerge/>
            <w:tcBorders>
              <w:bottom w:val="single" w:sz="4" w:space="0" w:color="auto"/>
            </w:tcBorders>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第18條第1項及第2項、第29條第2項</w:t>
            </w:r>
          </w:p>
        </w:tc>
        <w:tc>
          <w:tcPr>
            <w:tcW w:w="1935" w:type="pct"/>
          </w:tcPr>
          <w:p w:rsidR="00CE08FE" w:rsidRPr="00E144D6" w:rsidRDefault="00CE08FE" w:rsidP="00E144D6">
            <w:pPr>
              <w:spacing w:line="240" w:lineRule="exact"/>
              <w:jc w:val="both"/>
              <w:rPr>
                <w:rFonts w:ascii="標楷體" w:eastAsia="標楷體" w:hAnsi="標楷體"/>
                <w:sz w:val="20"/>
                <w:szCs w:val="20"/>
              </w:rPr>
            </w:pPr>
            <w:r w:rsidRPr="00E144D6">
              <w:rPr>
                <w:rFonts w:ascii="標楷體" w:eastAsia="標楷體" w:hAnsi="標楷體" w:hint="eastAsia"/>
                <w:sz w:val="20"/>
                <w:szCs w:val="20"/>
              </w:rPr>
              <w:t>對同一擬參選人每年捐贈總額，不得超過下列金額：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一、個人：新臺幣10萬元。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二、營利事業：新臺幣1百萬元。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三、人民團體：新臺幣50萬元。</w:t>
            </w:r>
          </w:p>
          <w:p w:rsidR="00CE08FE" w:rsidRPr="00E144D6" w:rsidRDefault="00CE08FE" w:rsidP="00E144D6">
            <w:pPr>
              <w:spacing w:line="240" w:lineRule="exact"/>
              <w:jc w:val="both"/>
              <w:rPr>
                <w:rFonts w:ascii="標楷體" w:eastAsia="標楷體" w:hAnsi="標楷體"/>
                <w:sz w:val="20"/>
                <w:szCs w:val="20"/>
              </w:rPr>
            </w:pPr>
            <w:r w:rsidRPr="00E144D6">
              <w:rPr>
                <w:rFonts w:ascii="標楷體" w:eastAsia="標楷體" w:hAnsi="標楷體" w:hint="eastAsia"/>
                <w:sz w:val="20"/>
                <w:szCs w:val="20"/>
              </w:rPr>
              <w:t>對不同擬參選人每年捐贈總額，合計不得超過下列金額：</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一、個人：新臺幣20萬元。</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二、營利事業：新臺幣2百萬元。</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三、人民團體：新臺幣1百萬元。</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捐贈政治獻金者，按其捐贈之金額處2倍之罰鍰。但最高不得超過新臺幣1百萬元。</w:t>
            </w:r>
          </w:p>
        </w:tc>
      </w:tr>
      <w:tr w:rsidR="00CE08FE" w:rsidRPr="00E144D6">
        <w:tblPrEx>
          <w:tblCellMar>
            <w:top w:w="0" w:type="dxa"/>
            <w:bottom w:w="0" w:type="dxa"/>
          </w:tblCellMar>
        </w:tblPrEx>
        <w:trPr>
          <w:cantSplit/>
          <w:trHeight w:val="670"/>
        </w:trPr>
        <w:tc>
          <w:tcPr>
            <w:tcW w:w="390" w:type="pct"/>
            <w:vMerge w:val="restart"/>
            <w:tcBorders>
              <w:top w:val="single" w:sz="4" w:space="0" w:color="auto"/>
            </w:tcBorders>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公職人員利益衝突迴避法</w:t>
            </w: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為促進廉能政治、端正政治風氣，建立公職人員利益衝突迴避之規範，有效遏阻貪污腐化暨不當利益輸送，特制定本法。</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公職人員利益衝突之迴避，除其他法律另有嚴格規定者外，適用本法之規定。</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本法所稱公職人員，指公職人員財產申報法第2條第1項所定之人員。</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第3條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本法所定公職人員之關係人，其範圍如下：</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一、公職人員之配偶或共同生活之家屬。</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二、公職人員之二親等以內親屬。</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三、公職人員或其配偶信託財產之受託人。</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四、公職人員、第一款及第二款所列人員擔任負責人、董事、監察人或經</w:t>
            </w:r>
            <w:r w:rsidRPr="00E144D6">
              <w:rPr>
                <w:rFonts w:ascii="標楷體" w:eastAsia="標楷體" w:hAnsi="標楷體"/>
                <w:sz w:val="20"/>
                <w:szCs w:val="20"/>
              </w:rPr>
              <w:t>理人之營利事業。</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第4條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本法所稱利益，包括財產上利益及非財產上利益。</w:t>
            </w:r>
          </w:p>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財產上利益如下：</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一、動產、不動產。</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二、現金、存款、外幣、有價證券。</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三、債權或其他財產上權利。</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四、其他具有經濟價值或得以金錢交易取得之利益。</w:t>
            </w:r>
          </w:p>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非財產上利益，指有利公職人員或其關係人於政府機關、公立學校、公營事業機構</w:t>
            </w:r>
            <w:r w:rsidRPr="00E144D6">
              <w:rPr>
                <w:rFonts w:ascii="標楷體" w:eastAsia="標楷體" w:hAnsi="標楷體"/>
                <w:sz w:val="20"/>
                <w:szCs w:val="20"/>
              </w:rPr>
              <w:t xml:space="preserve"> (以下簡稱機關) 之任用、</w:t>
            </w:r>
            <w:proofErr w:type="gramStart"/>
            <w:r w:rsidRPr="00E144D6">
              <w:rPr>
                <w:rFonts w:ascii="標楷體" w:eastAsia="標楷體" w:hAnsi="標楷體"/>
                <w:sz w:val="20"/>
                <w:szCs w:val="20"/>
              </w:rPr>
              <w:t>陞</w:t>
            </w:r>
            <w:proofErr w:type="gramEnd"/>
            <w:r w:rsidRPr="00E144D6">
              <w:rPr>
                <w:rFonts w:ascii="標楷體" w:eastAsia="標楷體" w:hAnsi="標楷體"/>
                <w:sz w:val="20"/>
                <w:szCs w:val="20"/>
              </w:rPr>
              <w:t>遷、調動及其他人事措施。</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第5條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本法所稱利益衝突，指公職人員執行職務時，得因其作為或不作為，直接或間接使本人或其關係人獲取利益者。</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rsidTr="00503805">
        <w:tblPrEx>
          <w:tblCellMar>
            <w:top w:w="0" w:type="dxa"/>
            <w:bottom w:w="0" w:type="dxa"/>
          </w:tblCellMar>
        </w:tblPrEx>
        <w:trPr>
          <w:cantSplit/>
          <w:trHeight w:val="497"/>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第6條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公職人員知有利益衝突者，應即自行迴避。</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第7條、第14條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公職人員不得假借職務上之權力、機會或方法，</w:t>
            </w:r>
            <w:proofErr w:type="gramStart"/>
            <w:r w:rsidRPr="00E144D6">
              <w:rPr>
                <w:rFonts w:ascii="標楷體" w:eastAsia="標楷體" w:hAnsi="標楷體" w:hint="eastAsia"/>
                <w:sz w:val="20"/>
                <w:szCs w:val="20"/>
              </w:rPr>
              <w:t>圖其本人</w:t>
            </w:r>
            <w:proofErr w:type="gramEnd"/>
            <w:r w:rsidRPr="00E144D6">
              <w:rPr>
                <w:rFonts w:ascii="標楷體" w:eastAsia="標楷體" w:hAnsi="標楷體" w:hint="eastAsia"/>
                <w:sz w:val="20"/>
                <w:szCs w:val="20"/>
              </w:rPr>
              <w:t>或關係人之利益。</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處新臺幣1百萬元以上5百萬元以下罰鍰；所得財產上利益，應予追繳。</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第8條、第14條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公職人員之關係人不得向機關有關人員關說、請託或以其他不當方法，</w:t>
            </w:r>
            <w:proofErr w:type="gramStart"/>
            <w:r w:rsidRPr="00E144D6">
              <w:rPr>
                <w:rFonts w:ascii="標楷體" w:eastAsia="標楷體" w:hAnsi="標楷體" w:hint="eastAsia"/>
                <w:sz w:val="20"/>
                <w:szCs w:val="20"/>
              </w:rPr>
              <w:t>圖其本人</w:t>
            </w:r>
            <w:proofErr w:type="gramEnd"/>
            <w:r w:rsidRPr="00E144D6">
              <w:rPr>
                <w:rFonts w:ascii="標楷體" w:eastAsia="標楷體" w:hAnsi="標楷體" w:hint="eastAsia"/>
                <w:sz w:val="20"/>
                <w:szCs w:val="20"/>
              </w:rPr>
              <w:t>或公職人員之利益。</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處新臺幣1百萬元以上5百萬元以下罰鍰；所得財產上利益，應予追繳。</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第9條、第15條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公職人員或其關係人，不得與公職人員服務之機關或受其監督之機關為買賣、租賃、承攬等交易行為。</w:t>
            </w:r>
          </w:p>
        </w:tc>
        <w:tc>
          <w:tcPr>
            <w:tcW w:w="1833"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處該交易行為金額1倍至3倍之罰鍰。</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第10條第1項、第16條、第18條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公職人員知有迴避義務者，應依下列規定辦理：</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一、民意代表，不得參與個人利益相關議案之審議及表決。</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二、其他公職人員應停止執行該項職務，並由職務代理人執行之。</w:t>
            </w:r>
          </w:p>
        </w:tc>
        <w:tc>
          <w:tcPr>
            <w:tcW w:w="1833" w:type="pct"/>
          </w:tcPr>
          <w:p w:rsidR="00CE08FE" w:rsidRPr="00E144D6" w:rsidRDefault="00CE08FE" w:rsidP="00E144D6">
            <w:pPr>
              <w:numPr>
                <w:ilvl w:val="0"/>
                <w:numId w:val="32"/>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處新臺幣1百萬元以上5百萬元以下罰鍰。</w:t>
            </w:r>
          </w:p>
          <w:p w:rsidR="00CE08FE" w:rsidRPr="00E144D6" w:rsidRDefault="00CE08FE" w:rsidP="00E144D6">
            <w:pPr>
              <w:numPr>
                <w:ilvl w:val="0"/>
                <w:numId w:val="32"/>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第10條第4項、第17條、第18條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服務機關或上級機關知有應自行迴避而未迴避情事者，</w:t>
            </w:r>
            <w:proofErr w:type="gramStart"/>
            <w:r w:rsidRPr="00E144D6">
              <w:rPr>
                <w:rFonts w:ascii="標楷體" w:eastAsia="標楷體" w:hAnsi="標楷體" w:hint="eastAsia"/>
                <w:sz w:val="20"/>
                <w:szCs w:val="20"/>
              </w:rPr>
              <w:t>應命該</w:t>
            </w:r>
            <w:proofErr w:type="gramEnd"/>
            <w:r w:rsidRPr="00E144D6">
              <w:rPr>
                <w:rFonts w:ascii="標楷體" w:eastAsia="標楷體" w:hAnsi="標楷體" w:hint="eastAsia"/>
                <w:sz w:val="20"/>
                <w:szCs w:val="20"/>
              </w:rPr>
              <w:t>公職人員迴避。</w:t>
            </w:r>
          </w:p>
        </w:tc>
        <w:tc>
          <w:tcPr>
            <w:tcW w:w="1833" w:type="pct"/>
          </w:tcPr>
          <w:p w:rsidR="00CE08FE" w:rsidRPr="00E144D6" w:rsidRDefault="00CE08FE" w:rsidP="00E144D6">
            <w:pPr>
              <w:numPr>
                <w:ilvl w:val="0"/>
                <w:numId w:val="30"/>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處新臺幣150萬元以上750萬元以下罰鍰。</w:t>
            </w:r>
          </w:p>
          <w:p w:rsidR="00CE08FE" w:rsidRPr="00E144D6" w:rsidRDefault="00CE08FE" w:rsidP="00E144D6">
            <w:pPr>
              <w:numPr>
                <w:ilvl w:val="0"/>
                <w:numId w:val="30"/>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第11條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民意代表以外之公職人員於自行迴避前，對該項事務所為之同意、否決、決定、建議、提案、調查等</w:t>
            </w:r>
            <w:proofErr w:type="gramStart"/>
            <w:r w:rsidRPr="00E144D6">
              <w:rPr>
                <w:rFonts w:ascii="標楷體" w:eastAsia="標楷體" w:hAnsi="標楷體" w:hint="eastAsia"/>
                <w:sz w:val="20"/>
                <w:szCs w:val="20"/>
              </w:rPr>
              <w:t>行為均屬無效</w:t>
            </w:r>
            <w:proofErr w:type="gramEnd"/>
            <w:r w:rsidRPr="00E144D6">
              <w:rPr>
                <w:rFonts w:ascii="標楷體" w:eastAsia="標楷體" w:hAnsi="標楷體" w:hint="eastAsia"/>
                <w:sz w:val="20"/>
                <w:szCs w:val="20"/>
              </w:rPr>
              <w:t>，應由其職務代理人重新為之。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第12條</w:t>
            </w:r>
          </w:p>
        </w:tc>
        <w:tc>
          <w:tcPr>
            <w:tcW w:w="1935" w:type="pct"/>
          </w:tcPr>
          <w:p w:rsidR="00CE08FE" w:rsidRPr="00E144D6" w:rsidRDefault="00CE08FE" w:rsidP="00E144D6">
            <w:pPr>
              <w:spacing w:line="240" w:lineRule="exact"/>
              <w:rPr>
                <w:rFonts w:ascii="標楷體" w:eastAsia="標楷體" w:hAnsi="標楷體"/>
                <w:sz w:val="20"/>
                <w:szCs w:val="20"/>
              </w:rPr>
            </w:pPr>
            <w:r w:rsidRPr="00E144D6">
              <w:rPr>
                <w:rFonts w:ascii="標楷體" w:eastAsia="標楷體" w:hAnsi="標楷體" w:hint="eastAsia"/>
                <w:sz w:val="20"/>
                <w:szCs w:val="20"/>
              </w:rPr>
              <w:t>公職人員有應自行迴避之情事而</w:t>
            </w:r>
            <w:proofErr w:type="gramStart"/>
            <w:r w:rsidRPr="00E144D6">
              <w:rPr>
                <w:rFonts w:ascii="標楷體" w:eastAsia="標楷體" w:hAnsi="標楷體" w:hint="eastAsia"/>
                <w:sz w:val="20"/>
                <w:szCs w:val="20"/>
              </w:rPr>
              <w:t>不</w:t>
            </w:r>
            <w:proofErr w:type="gramEnd"/>
            <w:r w:rsidRPr="00E144D6">
              <w:rPr>
                <w:rFonts w:ascii="標楷體" w:eastAsia="標楷體" w:hAnsi="標楷體" w:hint="eastAsia"/>
                <w:sz w:val="20"/>
                <w:szCs w:val="20"/>
              </w:rPr>
              <w:t>迴避者，利害關係人得向下列機關申請其迴避：</w:t>
            </w:r>
          </w:p>
          <w:p w:rsidR="00CE08FE" w:rsidRPr="00E144D6" w:rsidRDefault="00CE08FE" w:rsidP="00E144D6">
            <w:pPr>
              <w:spacing w:line="240" w:lineRule="exact"/>
              <w:ind w:left="400" w:hangingChars="200" w:hanging="400"/>
              <w:rPr>
                <w:rFonts w:ascii="標楷體" w:eastAsia="標楷體" w:hAnsi="標楷體"/>
                <w:sz w:val="20"/>
                <w:szCs w:val="20"/>
              </w:rPr>
            </w:pPr>
            <w:r w:rsidRPr="00E144D6">
              <w:rPr>
                <w:rFonts w:ascii="標楷體" w:eastAsia="標楷體" w:hAnsi="標楷體" w:hint="eastAsia"/>
                <w:sz w:val="20"/>
                <w:szCs w:val="20"/>
              </w:rPr>
              <w:t>一、應迴避者為民意代表時，向各該民意機關為之。</w:t>
            </w:r>
          </w:p>
          <w:p w:rsidR="00CE08FE" w:rsidRPr="00E144D6" w:rsidRDefault="00CE08FE" w:rsidP="00E144D6">
            <w:pPr>
              <w:spacing w:line="240" w:lineRule="exact"/>
              <w:ind w:left="400" w:hangingChars="200" w:hanging="400"/>
              <w:rPr>
                <w:rFonts w:ascii="標楷體" w:eastAsia="標楷體" w:hAnsi="標楷體" w:hint="eastAsia"/>
                <w:sz w:val="20"/>
                <w:szCs w:val="20"/>
              </w:rPr>
            </w:pPr>
            <w:r w:rsidRPr="00E144D6">
              <w:rPr>
                <w:rFonts w:ascii="標楷體" w:eastAsia="標楷體" w:hAnsi="標楷體" w:hint="eastAsia"/>
                <w:sz w:val="20"/>
                <w:szCs w:val="20"/>
              </w:rPr>
              <w:t>二、應迴避者為其他公職人員時，向該公職人員服務機關為之；如為機關</w:t>
            </w:r>
            <w:r w:rsidRPr="00E144D6">
              <w:rPr>
                <w:rFonts w:ascii="標楷體" w:eastAsia="標楷體" w:hAnsi="標楷體"/>
                <w:sz w:val="20"/>
                <w:szCs w:val="20"/>
              </w:rPr>
              <w:t>首長時，向上級機關為之；無上級機關者，向監察院為之。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第13條、第17條、第18條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前條之申請，經調查屬實後，</w:t>
            </w:r>
            <w:proofErr w:type="gramStart"/>
            <w:r w:rsidRPr="00E144D6">
              <w:rPr>
                <w:rFonts w:ascii="標楷體" w:eastAsia="標楷體" w:hAnsi="標楷體" w:hint="eastAsia"/>
                <w:sz w:val="20"/>
                <w:szCs w:val="20"/>
              </w:rPr>
              <w:t>應命被</w:t>
            </w:r>
            <w:proofErr w:type="gramEnd"/>
            <w:r w:rsidRPr="00E144D6">
              <w:rPr>
                <w:rFonts w:ascii="標楷體" w:eastAsia="標楷體" w:hAnsi="標楷體" w:hint="eastAsia"/>
                <w:sz w:val="20"/>
                <w:szCs w:val="20"/>
              </w:rPr>
              <w:t>申請迴避之公職人員迴避，該公職人員不得拒絕。</w:t>
            </w:r>
          </w:p>
        </w:tc>
        <w:tc>
          <w:tcPr>
            <w:tcW w:w="1833" w:type="pct"/>
          </w:tcPr>
          <w:p w:rsidR="00CE08FE" w:rsidRPr="00E144D6" w:rsidRDefault="00CE08FE" w:rsidP="00E144D6">
            <w:pPr>
              <w:numPr>
                <w:ilvl w:val="0"/>
                <w:numId w:val="31"/>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處新臺幣150萬元以上750萬元以下罰鍰。</w:t>
            </w:r>
          </w:p>
          <w:p w:rsidR="00CE08FE" w:rsidRPr="00E144D6" w:rsidRDefault="00CE08FE" w:rsidP="00E144D6">
            <w:pPr>
              <w:numPr>
                <w:ilvl w:val="0"/>
                <w:numId w:val="31"/>
              </w:numPr>
              <w:spacing w:line="240" w:lineRule="exact"/>
              <w:jc w:val="both"/>
              <w:rPr>
                <w:rFonts w:ascii="標楷體" w:eastAsia="標楷體" w:hAnsi="標楷體" w:hint="eastAsia"/>
                <w:sz w:val="20"/>
                <w:szCs w:val="20"/>
              </w:rPr>
            </w:pPr>
            <w:r w:rsidRPr="00E144D6">
              <w:rPr>
                <w:rFonts w:ascii="標楷體" w:eastAsia="標楷體" w:hAnsi="標楷體" w:hint="eastAsia"/>
                <w:sz w:val="20"/>
                <w:szCs w:val="20"/>
              </w:rPr>
              <w:t>處罰後再違反者，連續處罰之。</w:t>
            </w:r>
          </w:p>
        </w:tc>
      </w:tr>
      <w:tr w:rsidR="00CE08FE" w:rsidRPr="00E144D6">
        <w:tblPrEx>
          <w:tblCellMar>
            <w:top w:w="0" w:type="dxa"/>
            <w:bottom w:w="0" w:type="dxa"/>
          </w:tblCellMar>
        </w:tblPrEx>
        <w:trPr>
          <w:cantSplit/>
          <w:trHeight w:val="670"/>
        </w:trPr>
        <w:tc>
          <w:tcPr>
            <w:tcW w:w="390" w:type="pct"/>
            <w:vMerge/>
          </w:tcPr>
          <w:p w:rsidR="00CE08FE" w:rsidRPr="00E144D6" w:rsidRDefault="00CE08FE" w:rsidP="00E144D6">
            <w:pPr>
              <w:spacing w:line="240" w:lineRule="exact"/>
              <w:rPr>
                <w:rFonts w:ascii="標楷體" w:eastAsia="標楷體" w:hAnsi="標楷體" w:hint="eastAsia"/>
                <w:sz w:val="20"/>
                <w:szCs w:val="20"/>
              </w:rPr>
            </w:pPr>
          </w:p>
        </w:tc>
        <w:tc>
          <w:tcPr>
            <w:tcW w:w="842"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第21條</w:t>
            </w:r>
          </w:p>
        </w:tc>
        <w:tc>
          <w:tcPr>
            <w:tcW w:w="1935" w:type="pct"/>
          </w:tcPr>
          <w:p w:rsidR="00CE08FE" w:rsidRPr="00E144D6" w:rsidRDefault="00CE08FE" w:rsidP="00E144D6">
            <w:pPr>
              <w:spacing w:line="240" w:lineRule="exact"/>
              <w:rPr>
                <w:rFonts w:ascii="標楷體" w:eastAsia="標楷體" w:hAnsi="標楷體" w:hint="eastAsia"/>
                <w:sz w:val="20"/>
                <w:szCs w:val="20"/>
              </w:rPr>
            </w:pPr>
            <w:r w:rsidRPr="00E144D6">
              <w:rPr>
                <w:rFonts w:ascii="標楷體" w:eastAsia="標楷體" w:hAnsi="標楷體" w:hint="eastAsia"/>
                <w:sz w:val="20"/>
                <w:szCs w:val="20"/>
              </w:rPr>
              <w:t>違反本法規定而涉及其他法律責任者，依有關法律處理之。</w:t>
            </w:r>
          </w:p>
        </w:tc>
        <w:tc>
          <w:tcPr>
            <w:tcW w:w="1833" w:type="pct"/>
          </w:tcPr>
          <w:p w:rsidR="00CE08FE" w:rsidRPr="00E144D6" w:rsidRDefault="00CE08FE" w:rsidP="00E144D6">
            <w:pPr>
              <w:spacing w:line="240" w:lineRule="exact"/>
              <w:rPr>
                <w:rFonts w:ascii="標楷體" w:eastAsia="標楷體" w:hAnsi="標楷體" w:hint="eastAsia"/>
                <w:sz w:val="20"/>
                <w:szCs w:val="20"/>
              </w:rPr>
            </w:pPr>
          </w:p>
        </w:tc>
      </w:tr>
    </w:tbl>
    <w:p w:rsidR="00D33F16" w:rsidRPr="00E144D6" w:rsidRDefault="00D33F16" w:rsidP="00E144D6">
      <w:pPr>
        <w:snapToGrid w:val="0"/>
        <w:spacing w:line="240" w:lineRule="exact"/>
        <w:ind w:left="600" w:hangingChars="300" w:hanging="600"/>
        <w:rPr>
          <w:rFonts w:ascii="標楷體" w:eastAsia="標楷體" w:hAnsi="標楷體"/>
          <w:sz w:val="20"/>
          <w:szCs w:val="20"/>
        </w:rPr>
      </w:pPr>
    </w:p>
    <w:p w:rsidR="00D33F16" w:rsidRDefault="00D33F16" w:rsidP="00503805">
      <w:pPr>
        <w:spacing w:line="640" w:lineRule="exact"/>
        <w:ind w:firstLineChars="200" w:firstLine="400"/>
        <w:jc w:val="center"/>
        <w:rPr>
          <w:rFonts w:ascii="標楷體" w:eastAsia="標楷體" w:hAnsi="標楷體" w:hint="eastAsia"/>
          <w:sz w:val="32"/>
          <w:szCs w:val="32"/>
        </w:rPr>
      </w:pPr>
      <w:r w:rsidRPr="00E144D6">
        <w:rPr>
          <w:rFonts w:ascii="標楷體" w:eastAsia="標楷體" w:hAnsi="標楷體"/>
          <w:sz w:val="20"/>
          <w:szCs w:val="20"/>
        </w:rPr>
        <w:br w:type="page"/>
      </w:r>
      <w:r w:rsidRPr="00503805">
        <w:rPr>
          <w:rFonts w:ascii="標楷體" w:eastAsia="標楷體" w:hAnsi="標楷體" w:hint="eastAsia"/>
          <w:sz w:val="32"/>
          <w:szCs w:val="32"/>
        </w:rPr>
        <w:lastRenderedPageBreak/>
        <w:t>切結書1（投標時檢附）</w:t>
      </w:r>
    </w:p>
    <w:p w:rsidR="00503805" w:rsidRPr="00503805" w:rsidRDefault="00503805" w:rsidP="00503805">
      <w:pPr>
        <w:spacing w:line="640" w:lineRule="exact"/>
        <w:ind w:firstLineChars="200" w:firstLine="640"/>
        <w:jc w:val="center"/>
        <w:rPr>
          <w:rFonts w:ascii="標楷體" w:eastAsia="標楷體" w:hAnsi="標楷體" w:hint="eastAsia"/>
          <w:sz w:val="32"/>
          <w:szCs w:val="32"/>
        </w:rPr>
      </w:pPr>
    </w:p>
    <w:p w:rsidR="00D33F16" w:rsidRPr="00503805" w:rsidRDefault="00D33F16" w:rsidP="00503805">
      <w:pPr>
        <w:spacing w:line="640" w:lineRule="exact"/>
        <w:rPr>
          <w:rFonts w:ascii="標楷體" w:eastAsia="標楷體" w:hAnsi="標楷體" w:hint="eastAsia"/>
          <w:sz w:val="32"/>
          <w:szCs w:val="32"/>
        </w:rPr>
      </w:pPr>
      <w:r w:rsidRPr="00503805">
        <w:rPr>
          <w:rFonts w:ascii="標楷體" w:eastAsia="標楷體" w:hAnsi="標楷體" w:hint="eastAsia"/>
          <w:sz w:val="32"/>
          <w:szCs w:val="32"/>
        </w:rPr>
        <w:t xml:space="preserve">       本廠商</w:t>
      </w:r>
      <w:r w:rsidRPr="00503805">
        <w:rPr>
          <w:rFonts w:ascii="標楷體" w:eastAsia="標楷體" w:hAnsi="標楷體" w:hint="eastAsia"/>
          <w:sz w:val="32"/>
          <w:szCs w:val="32"/>
          <w:u w:val="single"/>
        </w:rPr>
        <w:t xml:space="preserve">    </w:t>
      </w:r>
      <w:r w:rsidR="00D71DBC" w:rsidRPr="00503805">
        <w:rPr>
          <w:rFonts w:ascii="標楷體" w:eastAsia="標楷體" w:hAnsi="標楷體" w:hint="eastAsia"/>
          <w:sz w:val="32"/>
          <w:szCs w:val="32"/>
          <w:u w:val="single"/>
        </w:rPr>
        <w:t xml:space="preserve">           </w:t>
      </w:r>
      <w:r w:rsidRPr="00503805">
        <w:rPr>
          <w:rFonts w:ascii="標楷體" w:eastAsia="標楷體" w:hAnsi="標楷體" w:hint="eastAsia"/>
          <w:sz w:val="32"/>
          <w:szCs w:val="32"/>
          <w:u w:val="single"/>
        </w:rPr>
        <w:t xml:space="preserve">     </w:t>
      </w:r>
      <w:r w:rsidRPr="00503805">
        <w:rPr>
          <w:rFonts w:ascii="標楷體" w:eastAsia="標楷體" w:hAnsi="標楷體" w:hint="eastAsia"/>
          <w:sz w:val="32"/>
          <w:szCs w:val="32"/>
        </w:rPr>
        <w:t>參與</w:t>
      </w:r>
      <w:r w:rsidR="00473905" w:rsidRPr="00473905">
        <w:rPr>
          <w:rFonts w:ascii="標楷體" w:eastAsia="標楷體" w:hAnsi="標楷體" w:hint="eastAsia"/>
          <w:b/>
          <w:color w:val="FF0000"/>
          <w:sz w:val="32"/>
          <w:szCs w:val="32"/>
          <w:u w:val="single"/>
        </w:rPr>
        <w:t>新竹市警察局</w:t>
      </w:r>
      <w:r w:rsidRPr="00503805">
        <w:rPr>
          <w:rFonts w:ascii="標楷體" w:eastAsia="標楷體" w:hAnsi="標楷體" w:hint="eastAsia"/>
          <w:sz w:val="32"/>
          <w:szCs w:val="32"/>
        </w:rPr>
        <w:t>辦理</w:t>
      </w:r>
      <w:r w:rsidR="00230692">
        <w:rPr>
          <w:rFonts w:eastAsia="標楷體" w:hint="eastAsia"/>
          <w:b/>
          <w:color w:val="FF0000"/>
          <w:sz w:val="32"/>
          <w:szCs w:val="32"/>
          <w:u w:val="single"/>
        </w:rPr>
        <w:t>新竹市警察局第二分局埔頂派出所辦公廳舍新建工程</w:t>
      </w:r>
      <w:r w:rsidRPr="00503805">
        <w:rPr>
          <w:rFonts w:ascii="標楷體" w:eastAsia="標楷體" w:hAnsi="標楷體" w:hint="eastAsia"/>
          <w:sz w:val="32"/>
          <w:szCs w:val="32"/>
        </w:rPr>
        <w:t>招標案，對於廠商之責任，包括刑事、民事與行政責任，已充分瞭解相關之法令規定，並願確實遵行。</w:t>
      </w:r>
    </w:p>
    <w:p w:rsidR="00E3065E" w:rsidRPr="00706D8A" w:rsidRDefault="00E3065E" w:rsidP="00E3065E">
      <w:pPr>
        <w:spacing w:line="640" w:lineRule="exact"/>
        <w:rPr>
          <w:rFonts w:ascii="標楷體" w:eastAsia="標楷體" w:hAnsi="標楷體" w:hint="eastAsia"/>
          <w:sz w:val="32"/>
          <w:szCs w:val="32"/>
        </w:rPr>
      </w:pPr>
    </w:p>
    <w:p w:rsidR="00D33F16" w:rsidRPr="00503805" w:rsidRDefault="00D33F16" w:rsidP="00E3065E">
      <w:pPr>
        <w:spacing w:line="800" w:lineRule="exact"/>
        <w:ind w:leftChars="200" w:left="480"/>
        <w:rPr>
          <w:rFonts w:ascii="標楷體" w:eastAsia="標楷體" w:hAnsi="標楷體" w:hint="eastAsia"/>
          <w:sz w:val="32"/>
          <w:szCs w:val="32"/>
        </w:rPr>
      </w:pPr>
      <w:proofErr w:type="gramStart"/>
      <w:r w:rsidRPr="00503805">
        <w:rPr>
          <w:rFonts w:ascii="標楷體" w:eastAsia="標楷體" w:hAnsi="標楷體" w:hint="eastAsia"/>
          <w:sz w:val="32"/>
          <w:szCs w:val="32"/>
        </w:rPr>
        <w:t>立書人</w:t>
      </w:r>
      <w:proofErr w:type="gramEnd"/>
    </w:p>
    <w:p w:rsidR="00D33F16" w:rsidRPr="00040375" w:rsidRDefault="00D33F16" w:rsidP="00040375">
      <w:pPr>
        <w:spacing w:line="800" w:lineRule="exact"/>
        <w:ind w:leftChars="200" w:left="480" w:firstLineChars="200" w:firstLine="560"/>
        <w:rPr>
          <w:rFonts w:ascii="標楷體" w:eastAsia="標楷體" w:hAnsi="標楷體" w:hint="eastAsia"/>
          <w:sz w:val="28"/>
          <w:szCs w:val="28"/>
          <w:u w:val="single"/>
        </w:rPr>
      </w:pPr>
      <w:r w:rsidRPr="00040375">
        <w:rPr>
          <w:rFonts w:ascii="標楷體" w:eastAsia="標楷體" w:hAnsi="標楷體" w:hint="eastAsia"/>
          <w:sz w:val="28"/>
          <w:szCs w:val="28"/>
        </w:rPr>
        <w:t xml:space="preserve">投標廠商：　　　　</w:t>
      </w:r>
      <w:r w:rsidR="00E3065E" w:rsidRPr="00040375">
        <w:rPr>
          <w:rFonts w:ascii="標楷體" w:eastAsia="標楷體" w:hAnsi="標楷體" w:hint="eastAsia"/>
          <w:sz w:val="28"/>
          <w:szCs w:val="28"/>
        </w:rPr>
        <w:t xml:space="preserve">    </w:t>
      </w:r>
      <w:r w:rsidRPr="00040375">
        <w:rPr>
          <w:rFonts w:ascii="標楷體" w:eastAsia="標楷體" w:hAnsi="標楷體" w:hint="eastAsia"/>
          <w:sz w:val="28"/>
          <w:szCs w:val="28"/>
        </w:rPr>
        <w:t xml:space="preserve">　</w:t>
      </w:r>
      <w:r w:rsidR="00503805">
        <w:rPr>
          <w:rFonts w:ascii="標楷體" w:eastAsia="標楷體" w:hAnsi="標楷體" w:hint="eastAsia"/>
          <w:sz w:val="28"/>
          <w:szCs w:val="28"/>
        </w:rPr>
        <w:t xml:space="preserve">          </w:t>
      </w:r>
      <w:r w:rsidRPr="00040375">
        <w:rPr>
          <w:rFonts w:ascii="標楷體" w:eastAsia="標楷體" w:hAnsi="標楷體" w:hint="eastAsia"/>
          <w:sz w:val="28"/>
          <w:szCs w:val="28"/>
        </w:rPr>
        <w:t>（蓋章）</w:t>
      </w:r>
    </w:p>
    <w:p w:rsidR="00E3065E" w:rsidRPr="00040375" w:rsidRDefault="00E3065E" w:rsidP="00040375">
      <w:pPr>
        <w:spacing w:line="800" w:lineRule="exact"/>
        <w:ind w:leftChars="200" w:left="480" w:firstLineChars="200" w:firstLine="560"/>
        <w:rPr>
          <w:rFonts w:ascii="標楷體" w:eastAsia="標楷體" w:hAnsi="標楷體" w:hint="eastAsia"/>
          <w:sz w:val="28"/>
          <w:szCs w:val="28"/>
        </w:rPr>
      </w:pPr>
    </w:p>
    <w:p w:rsidR="00D33F16" w:rsidRPr="00040375" w:rsidRDefault="00D33F16" w:rsidP="00040375">
      <w:pPr>
        <w:spacing w:line="800" w:lineRule="exact"/>
        <w:ind w:leftChars="200" w:left="480" w:firstLineChars="200" w:firstLine="560"/>
        <w:rPr>
          <w:rFonts w:ascii="標楷體" w:eastAsia="標楷體" w:hAnsi="標楷體" w:hint="eastAsia"/>
          <w:sz w:val="28"/>
          <w:szCs w:val="28"/>
        </w:rPr>
      </w:pPr>
      <w:r w:rsidRPr="00040375">
        <w:rPr>
          <w:rFonts w:ascii="標楷體" w:eastAsia="標楷體" w:hAnsi="標楷體" w:hint="eastAsia"/>
          <w:sz w:val="28"/>
          <w:szCs w:val="28"/>
        </w:rPr>
        <w:t xml:space="preserve">負責人：　　　　　</w:t>
      </w:r>
      <w:r w:rsidR="00E3065E" w:rsidRPr="00040375">
        <w:rPr>
          <w:rFonts w:ascii="標楷體" w:eastAsia="標楷體" w:hAnsi="標楷體" w:hint="eastAsia"/>
          <w:sz w:val="28"/>
          <w:szCs w:val="28"/>
        </w:rPr>
        <w:t xml:space="preserve">    </w:t>
      </w:r>
      <w:r w:rsidR="00503805">
        <w:rPr>
          <w:rFonts w:ascii="標楷體" w:eastAsia="標楷體" w:hAnsi="標楷體" w:hint="eastAsia"/>
          <w:sz w:val="28"/>
          <w:szCs w:val="28"/>
        </w:rPr>
        <w:t xml:space="preserve">          </w:t>
      </w:r>
      <w:r w:rsidRPr="00040375">
        <w:rPr>
          <w:rFonts w:ascii="標楷體" w:eastAsia="標楷體" w:hAnsi="標楷體" w:hint="eastAsia"/>
          <w:sz w:val="28"/>
          <w:szCs w:val="28"/>
        </w:rPr>
        <w:t xml:space="preserve">　（蓋章）</w:t>
      </w:r>
    </w:p>
    <w:p w:rsidR="00E3065E" w:rsidRPr="00040375" w:rsidRDefault="00E3065E" w:rsidP="00E3065E">
      <w:pPr>
        <w:spacing w:line="800" w:lineRule="exact"/>
        <w:jc w:val="center"/>
        <w:rPr>
          <w:rFonts w:ascii="標楷體" w:eastAsia="標楷體" w:hAnsi="標楷體" w:hint="eastAsia"/>
          <w:kern w:val="0"/>
          <w:sz w:val="28"/>
          <w:szCs w:val="28"/>
        </w:rPr>
      </w:pPr>
    </w:p>
    <w:p w:rsidR="00D33F16" w:rsidRPr="00040375" w:rsidRDefault="00D33F16" w:rsidP="00E3065E">
      <w:pPr>
        <w:spacing w:line="800" w:lineRule="exact"/>
        <w:jc w:val="center"/>
        <w:rPr>
          <w:rFonts w:ascii="標楷體" w:eastAsia="標楷體" w:hAnsi="標楷體"/>
          <w:sz w:val="28"/>
          <w:szCs w:val="28"/>
        </w:rPr>
      </w:pPr>
      <w:r w:rsidRPr="00E144D6">
        <w:rPr>
          <w:rFonts w:ascii="標楷體" w:eastAsia="標楷體" w:hAnsi="標楷體" w:hint="eastAsia"/>
          <w:spacing w:val="132"/>
          <w:kern w:val="0"/>
          <w:sz w:val="28"/>
          <w:szCs w:val="28"/>
          <w:fitText w:val="8000" w:id="83134976"/>
        </w:rPr>
        <w:t xml:space="preserve">中華民國    年    月   </w:t>
      </w:r>
      <w:r w:rsidRPr="00E144D6">
        <w:rPr>
          <w:rFonts w:ascii="標楷體" w:eastAsia="標楷體" w:hAnsi="標楷體" w:hint="eastAsia"/>
          <w:spacing w:val="6"/>
          <w:kern w:val="0"/>
          <w:sz w:val="28"/>
          <w:szCs w:val="28"/>
          <w:fitText w:val="8000" w:id="83134976"/>
        </w:rPr>
        <w:t>日</w:t>
      </w:r>
    </w:p>
    <w:p w:rsidR="00405A1A" w:rsidRDefault="00D33F16" w:rsidP="00503805">
      <w:pPr>
        <w:spacing w:line="640" w:lineRule="exact"/>
        <w:ind w:firstLineChars="200" w:firstLine="560"/>
        <w:jc w:val="center"/>
        <w:rPr>
          <w:rFonts w:ascii="標楷體" w:eastAsia="標楷體" w:hAnsi="標楷體" w:hint="eastAsia"/>
          <w:sz w:val="32"/>
          <w:szCs w:val="32"/>
        </w:rPr>
      </w:pPr>
      <w:r w:rsidRPr="00040375">
        <w:rPr>
          <w:rFonts w:ascii="標楷體" w:eastAsia="標楷體" w:hAnsi="標楷體"/>
          <w:sz w:val="28"/>
          <w:szCs w:val="28"/>
        </w:rPr>
        <w:br w:type="page"/>
      </w:r>
      <w:r w:rsidR="00405A1A" w:rsidRPr="00503805">
        <w:rPr>
          <w:rFonts w:ascii="標楷體" w:eastAsia="標楷體" w:hAnsi="標楷體" w:hint="eastAsia"/>
          <w:sz w:val="32"/>
          <w:szCs w:val="32"/>
        </w:rPr>
        <w:lastRenderedPageBreak/>
        <w:t>切結書</w:t>
      </w:r>
      <w:r w:rsidR="00B12B4C" w:rsidRPr="00503805">
        <w:rPr>
          <w:rFonts w:ascii="標楷體" w:eastAsia="標楷體" w:hAnsi="標楷體" w:hint="eastAsia"/>
          <w:sz w:val="32"/>
          <w:szCs w:val="32"/>
        </w:rPr>
        <w:t>3</w:t>
      </w:r>
      <w:r w:rsidR="00405A1A" w:rsidRPr="00503805">
        <w:rPr>
          <w:rFonts w:ascii="標楷體" w:eastAsia="標楷體" w:hAnsi="標楷體" w:hint="eastAsia"/>
          <w:sz w:val="32"/>
          <w:szCs w:val="32"/>
        </w:rPr>
        <w:t>（開工前檢附）</w:t>
      </w:r>
    </w:p>
    <w:p w:rsidR="00503805" w:rsidRPr="00503805" w:rsidRDefault="00503805" w:rsidP="00503805">
      <w:pPr>
        <w:spacing w:line="640" w:lineRule="exact"/>
        <w:ind w:firstLineChars="200" w:firstLine="640"/>
        <w:jc w:val="center"/>
        <w:rPr>
          <w:rFonts w:ascii="標楷體" w:eastAsia="標楷體" w:hAnsi="標楷體" w:hint="eastAsia"/>
          <w:sz w:val="32"/>
          <w:szCs w:val="32"/>
        </w:rPr>
      </w:pPr>
    </w:p>
    <w:p w:rsidR="00405A1A" w:rsidRPr="00503805" w:rsidRDefault="00405A1A" w:rsidP="00503805">
      <w:pPr>
        <w:spacing w:line="640" w:lineRule="exact"/>
        <w:ind w:firstLineChars="200" w:firstLine="640"/>
        <w:rPr>
          <w:rFonts w:ascii="標楷體" w:eastAsia="標楷體" w:hAnsi="標楷體" w:hint="eastAsia"/>
          <w:sz w:val="32"/>
          <w:szCs w:val="32"/>
        </w:rPr>
      </w:pPr>
      <w:r w:rsidRPr="00503805">
        <w:rPr>
          <w:rFonts w:ascii="標楷體" w:eastAsia="標楷體" w:hAnsi="標楷體" w:hint="eastAsia"/>
          <w:sz w:val="32"/>
          <w:szCs w:val="32"/>
        </w:rPr>
        <w:t>本人</w:t>
      </w:r>
      <w:r w:rsidRPr="00503805">
        <w:rPr>
          <w:rFonts w:ascii="標楷體" w:eastAsia="標楷體" w:hAnsi="標楷體" w:hint="eastAsia"/>
          <w:sz w:val="32"/>
          <w:szCs w:val="32"/>
          <w:u w:val="single"/>
        </w:rPr>
        <w:t xml:space="preserve">    </w:t>
      </w:r>
      <w:r w:rsidR="00D71DBC" w:rsidRPr="00503805">
        <w:rPr>
          <w:rFonts w:ascii="標楷體" w:eastAsia="標楷體" w:hAnsi="標楷體" w:hint="eastAsia"/>
          <w:sz w:val="32"/>
          <w:szCs w:val="32"/>
          <w:u w:val="single"/>
        </w:rPr>
        <w:t xml:space="preserve">  </w:t>
      </w:r>
      <w:r w:rsidRPr="00503805">
        <w:rPr>
          <w:rFonts w:ascii="標楷體" w:eastAsia="標楷體" w:hAnsi="標楷體" w:hint="eastAsia"/>
          <w:sz w:val="32"/>
          <w:szCs w:val="32"/>
          <w:u w:val="single"/>
        </w:rPr>
        <w:t xml:space="preserve">     </w:t>
      </w:r>
      <w:r w:rsidRPr="00503805">
        <w:rPr>
          <w:rFonts w:ascii="標楷體" w:eastAsia="標楷體" w:hAnsi="標楷體" w:hint="eastAsia"/>
          <w:sz w:val="32"/>
          <w:szCs w:val="32"/>
        </w:rPr>
        <w:t>受聘於</w:t>
      </w:r>
      <w:r w:rsidR="00D71DBC" w:rsidRPr="00503805">
        <w:rPr>
          <w:rFonts w:ascii="標楷體" w:eastAsia="標楷體" w:hAnsi="標楷體" w:hint="eastAsia"/>
          <w:sz w:val="32"/>
          <w:szCs w:val="32"/>
          <w:u w:val="single"/>
        </w:rPr>
        <w:t xml:space="preserve">                        </w:t>
      </w:r>
      <w:r w:rsidRPr="00503805">
        <w:rPr>
          <w:rFonts w:ascii="標楷體" w:eastAsia="標楷體" w:hAnsi="標楷體" w:hint="eastAsia"/>
          <w:sz w:val="32"/>
          <w:szCs w:val="32"/>
        </w:rPr>
        <w:t>，為承辦</w:t>
      </w:r>
      <w:r w:rsidR="00473905" w:rsidRPr="00473905">
        <w:rPr>
          <w:rFonts w:ascii="標楷體" w:eastAsia="標楷體" w:hAnsi="標楷體" w:hint="eastAsia"/>
          <w:b/>
          <w:color w:val="FF0000"/>
          <w:sz w:val="32"/>
          <w:szCs w:val="32"/>
          <w:u w:val="single"/>
        </w:rPr>
        <w:t>新竹市警察局</w:t>
      </w:r>
      <w:r w:rsidRPr="00503805">
        <w:rPr>
          <w:rFonts w:ascii="標楷體" w:eastAsia="標楷體" w:hAnsi="標楷體" w:hint="eastAsia"/>
          <w:sz w:val="32"/>
          <w:szCs w:val="32"/>
        </w:rPr>
        <w:t>辦理</w:t>
      </w:r>
      <w:r w:rsidR="00230692">
        <w:rPr>
          <w:rFonts w:eastAsia="標楷體" w:hint="eastAsia"/>
          <w:b/>
          <w:color w:val="FF0000"/>
          <w:sz w:val="32"/>
          <w:szCs w:val="32"/>
          <w:u w:val="single"/>
        </w:rPr>
        <w:t>新竹市警察局第二分局埔頂派出所辦公廳舍新建工程</w:t>
      </w:r>
      <w:r w:rsidRPr="00503805">
        <w:rPr>
          <w:rFonts w:ascii="標楷體" w:eastAsia="標楷體" w:hAnsi="標楷體" w:hint="eastAsia"/>
          <w:sz w:val="32"/>
          <w:szCs w:val="32"/>
        </w:rPr>
        <w:t>招標案之專任工程人員，對於專任工程人員之責任，包括刑事、民事與行政責任，已充分瞭解相關之法令規定，並願確實遵行。</w:t>
      </w:r>
    </w:p>
    <w:p w:rsidR="00E3065E" w:rsidRPr="00040375" w:rsidRDefault="00E3065E" w:rsidP="00E3065E">
      <w:pPr>
        <w:spacing w:line="640" w:lineRule="exact"/>
        <w:rPr>
          <w:rFonts w:ascii="標楷體" w:eastAsia="標楷體" w:hAnsi="標楷體" w:hint="eastAsia"/>
          <w:sz w:val="28"/>
          <w:szCs w:val="28"/>
        </w:rPr>
      </w:pPr>
    </w:p>
    <w:p w:rsidR="00E3065E" w:rsidRPr="0081225F" w:rsidRDefault="00E3065E" w:rsidP="00040375">
      <w:pPr>
        <w:tabs>
          <w:tab w:val="left" w:pos="3660"/>
        </w:tabs>
        <w:spacing w:line="800" w:lineRule="exact"/>
        <w:ind w:leftChars="200" w:left="480"/>
        <w:rPr>
          <w:rFonts w:ascii="標楷體" w:eastAsia="標楷體" w:hAnsi="標楷體" w:hint="eastAsia"/>
          <w:sz w:val="32"/>
        </w:rPr>
      </w:pPr>
      <w:proofErr w:type="gramStart"/>
      <w:r w:rsidRPr="00040375">
        <w:rPr>
          <w:rFonts w:ascii="標楷體" w:eastAsia="標楷體" w:hAnsi="標楷體" w:hint="eastAsia"/>
          <w:sz w:val="28"/>
          <w:szCs w:val="28"/>
        </w:rPr>
        <w:t>立書人</w:t>
      </w:r>
      <w:proofErr w:type="gramEnd"/>
      <w:r w:rsidR="00040375">
        <w:rPr>
          <w:rFonts w:ascii="標楷體" w:eastAsia="標楷體" w:hAnsi="標楷體"/>
          <w:sz w:val="32"/>
        </w:rPr>
        <w:tab/>
      </w:r>
    </w:p>
    <w:p w:rsidR="00E3065E" w:rsidRPr="0081225F" w:rsidRDefault="00E3065E" w:rsidP="00E3065E">
      <w:pPr>
        <w:spacing w:line="800" w:lineRule="exact"/>
        <w:ind w:leftChars="200" w:left="480" w:firstLineChars="200" w:firstLine="640"/>
        <w:rPr>
          <w:rFonts w:ascii="標楷體" w:eastAsia="標楷體" w:hAnsi="標楷體" w:hint="eastAsia"/>
          <w:sz w:val="32"/>
          <w:u w:val="single"/>
        </w:rPr>
      </w:pPr>
      <w:r w:rsidRPr="00405A1A">
        <w:rPr>
          <w:rFonts w:ascii="標楷體" w:eastAsia="標楷體" w:hAnsi="標楷體" w:hint="eastAsia"/>
          <w:sz w:val="32"/>
        </w:rPr>
        <w:t xml:space="preserve">專任工程人員：　　　</w:t>
      </w:r>
      <w:r>
        <w:rPr>
          <w:rFonts w:ascii="標楷體" w:eastAsia="標楷體" w:hAnsi="標楷體" w:hint="eastAsia"/>
          <w:sz w:val="32"/>
        </w:rPr>
        <w:t xml:space="preserve">      </w:t>
      </w:r>
      <w:r w:rsidR="00503805">
        <w:rPr>
          <w:rFonts w:ascii="標楷體" w:eastAsia="標楷體" w:hAnsi="標楷體" w:hint="eastAsia"/>
          <w:sz w:val="32"/>
        </w:rPr>
        <w:t xml:space="preserve">    </w:t>
      </w:r>
      <w:r w:rsidRPr="00405A1A">
        <w:rPr>
          <w:rFonts w:ascii="標楷體" w:eastAsia="標楷體" w:hAnsi="標楷體" w:hint="eastAsia"/>
          <w:sz w:val="32"/>
        </w:rPr>
        <w:t>（蓋章）</w:t>
      </w:r>
    </w:p>
    <w:p w:rsidR="00E3065E" w:rsidRDefault="00E3065E" w:rsidP="00E3065E">
      <w:pPr>
        <w:spacing w:line="800" w:lineRule="exact"/>
        <w:ind w:firstLineChars="200" w:firstLine="640"/>
        <w:rPr>
          <w:rFonts w:ascii="標楷體" w:eastAsia="標楷體" w:hAnsi="標楷體" w:hint="eastAsia"/>
          <w:sz w:val="32"/>
        </w:rPr>
      </w:pPr>
    </w:p>
    <w:p w:rsidR="00405A1A" w:rsidRDefault="00E3065E" w:rsidP="00503805">
      <w:pPr>
        <w:spacing w:line="640" w:lineRule="exact"/>
        <w:jc w:val="center"/>
        <w:rPr>
          <w:rFonts w:ascii="標楷體" w:eastAsia="標楷體" w:hAnsi="標楷體" w:hint="eastAsia"/>
          <w:sz w:val="32"/>
        </w:rPr>
      </w:pPr>
      <w:r w:rsidRPr="00F333B3">
        <w:rPr>
          <w:rFonts w:ascii="標楷體" w:eastAsia="標楷體" w:hAnsi="標楷體" w:hint="eastAsia"/>
          <w:spacing w:val="117"/>
          <w:kern w:val="0"/>
          <w:sz w:val="32"/>
          <w:fitText w:val="8000" w:id="83134977"/>
        </w:rPr>
        <w:t xml:space="preserve">中華民國    年    月   </w:t>
      </w:r>
      <w:r w:rsidRPr="00F333B3">
        <w:rPr>
          <w:rFonts w:ascii="標楷體" w:eastAsia="標楷體" w:hAnsi="標楷體" w:hint="eastAsia"/>
          <w:spacing w:val="11"/>
          <w:kern w:val="0"/>
          <w:sz w:val="32"/>
          <w:fitText w:val="8000" w:id="83134977"/>
        </w:rPr>
        <w:t>日</w:t>
      </w:r>
      <w:r w:rsidR="00405A1A" w:rsidRPr="00405A1A">
        <w:rPr>
          <w:rFonts w:ascii="標楷體" w:eastAsia="標楷體" w:hAnsi="標楷體"/>
          <w:sz w:val="32"/>
        </w:rPr>
        <w:br w:type="page"/>
      </w:r>
      <w:r w:rsidR="00405A1A" w:rsidRPr="00405A1A">
        <w:rPr>
          <w:rFonts w:ascii="標楷體" w:eastAsia="標楷體" w:hAnsi="標楷體" w:hint="eastAsia"/>
          <w:sz w:val="32"/>
        </w:rPr>
        <w:lastRenderedPageBreak/>
        <w:t>切結書</w:t>
      </w:r>
      <w:r w:rsidR="00B12B4C">
        <w:rPr>
          <w:rFonts w:ascii="標楷體" w:eastAsia="標楷體" w:hAnsi="標楷體" w:hint="eastAsia"/>
          <w:sz w:val="32"/>
        </w:rPr>
        <w:t>4</w:t>
      </w:r>
      <w:r w:rsidR="00405A1A" w:rsidRPr="00405A1A">
        <w:rPr>
          <w:rFonts w:ascii="標楷體" w:eastAsia="標楷體" w:hAnsi="標楷體" w:hint="eastAsia"/>
          <w:sz w:val="32"/>
        </w:rPr>
        <w:t>（開工前檢附）</w:t>
      </w:r>
    </w:p>
    <w:p w:rsidR="00503805" w:rsidRPr="00405A1A" w:rsidRDefault="00503805" w:rsidP="00503805">
      <w:pPr>
        <w:spacing w:line="640" w:lineRule="exact"/>
        <w:jc w:val="center"/>
        <w:rPr>
          <w:rFonts w:ascii="標楷體" w:eastAsia="標楷體" w:hAnsi="標楷體" w:hint="eastAsia"/>
          <w:sz w:val="32"/>
        </w:rPr>
      </w:pPr>
    </w:p>
    <w:p w:rsidR="00405A1A" w:rsidRPr="00405A1A" w:rsidRDefault="00405A1A" w:rsidP="00503805">
      <w:pPr>
        <w:spacing w:line="640" w:lineRule="exact"/>
        <w:ind w:firstLineChars="200" w:firstLine="640"/>
        <w:rPr>
          <w:rFonts w:ascii="標楷體" w:eastAsia="標楷體" w:hAnsi="標楷體" w:hint="eastAsia"/>
          <w:sz w:val="32"/>
        </w:rPr>
      </w:pPr>
      <w:r w:rsidRPr="00405A1A">
        <w:rPr>
          <w:rFonts w:ascii="標楷體" w:eastAsia="標楷體" w:hAnsi="標楷體" w:hint="eastAsia"/>
          <w:sz w:val="32"/>
        </w:rPr>
        <w:t>本人</w:t>
      </w:r>
      <w:r w:rsidRPr="00D71DBC">
        <w:rPr>
          <w:rFonts w:ascii="標楷體" w:eastAsia="標楷體" w:hAnsi="標楷體" w:hint="eastAsia"/>
          <w:sz w:val="32"/>
          <w:u w:val="single"/>
        </w:rPr>
        <w:t xml:space="preserve">      </w:t>
      </w:r>
      <w:r w:rsidR="00D71DBC">
        <w:rPr>
          <w:rFonts w:ascii="標楷體" w:eastAsia="標楷體" w:hAnsi="標楷體" w:hint="eastAsia"/>
          <w:sz w:val="32"/>
          <w:u w:val="single"/>
        </w:rPr>
        <w:t xml:space="preserve">   </w:t>
      </w:r>
      <w:r w:rsidRPr="00D71DBC">
        <w:rPr>
          <w:rFonts w:ascii="標楷體" w:eastAsia="標楷體" w:hAnsi="標楷體" w:hint="eastAsia"/>
          <w:sz w:val="32"/>
          <w:u w:val="single"/>
        </w:rPr>
        <w:t xml:space="preserve">   </w:t>
      </w:r>
      <w:r w:rsidRPr="00405A1A">
        <w:rPr>
          <w:rFonts w:ascii="標楷體" w:eastAsia="標楷體" w:hAnsi="標楷體" w:hint="eastAsia"/>
          <w:sz w:val="32"/>
        </w:rPr>
        <w:t>受聘於</w:t>
      </w:r>
      <w:r w:rsidR="00D71DBC">
        <w:rPr>
          <w:rFonts w:ascii="標楷體" w:eastAsia="標楷體" w:hAnsi="標楷體" w:hint="eastAsia"/>
          <w:sz w:val="32"/>
          <w:u w:val="single"/>
        </w:rPr>
        <w:t xml:space="preserve">                       </w:t>
      </w:r>
      <w:r w:rsidRPr="00405A1A">
        <w:rPr>
          <w:rFonts w:ascii="標楷體" w:eastAsia="標楷體" w:hAnsi="標楷體" w:hint="eastAsia"/>
          <w:sz w:val="32"/>
        </w:rPr>
        <w:t>，為承辦</w:t>
      </w:r>
      <w:r w:rsidR="00473905" w:rsidRPr="00473905">
        <w:rPr>
          <w:rFonts w:ascii="標楷體" w:eastAsia="標楷體" w:hAnsi="標楷體" w:hint="eastAsia"/>
          <w:bCs/>
          <w:color w:val="FF0000"/>
          <w:sz w:val="32"/>
          <w:u w:val="single"/>
        </w:rPr>
        <w:t>新竹市警察局</w:t>
      </w:r>
      <w:r w:rsidRPr="00405A1A">
        <w:rPr>
          <w:rFonts w:ascii="標楷體" w:eastAsia="標楷體" w:hAnsi="標楷體" w:hint="eastAsia"/>
          <w:sz w:val="32"/>
        </w:rPr>
        <w:t>辦理</w:t>
      </w:r>
      <w:r w:rsidR="00230692">
        <w:rPr>
          <w:rFonts w:eastAsia="標楷體" w:hint="eastAsia"/>
          <w:b/>
          <w:color w:val="FF0000"/>
          <w:sz w:val="32"/>
          <w:szCs w:val="32"/>
          <w:u w:val="single"/>
        </w:rPr>
        <w:t>新竹市警察局第二分局埔頂派出所辦公廳舍新建工程</w:t>
      </w:r>
      <w:r w:rsidRPr="00405A1A">
        <w:rPr>
          <w:rFonts w:ascii="標楷體" w:eastAsia="標楷體" w:hAnsi="標楷體" w:hint="eastAsia"/>
          <w:sz w:val="32"/>
        </w:rPr>
        <w:t>招標案之工地主任，對於工地主任之責任，包括刑事、民事與行政責任，已充分瞭解相關之法令規定，並願確實遵行。</w:t>
      </w:r>
    </w:p>
    <w:p w:rsidR="00E3065E" w:rsidRPr="00405A1A" w:rsidRDefault="00E3065E" w:rsidP="00405A1A">
      <w:pPr>
        <w:spacing w:line="640" w:lineRule="exact"/>
        <w:ind w:leftChars="1275" w:left="3060"/>
        <w:rPr>
          <w:rFonts w:ascii="標楷體" w:eastAsia="標楷體" w:hAnsi="標楷體" w:hint="eastAsia"/>
          <w:sz w:val="32"/>
        </w:rPr>
      </w:pPr>
    </w:p>
    <w:p w:rsidR="00E3065E" w:rsidRPr="0081225F" w:rsidRDefault="00E3065E" w:rsidP="00E3065E">
      <w:pPr>
        <w:spacing w:line="800" w:lineRule="exact"/>
        <w:ind w:leftChars="200" w:left="480"/>
        <w:rPr>
          <w:rFonts w:ascii="標楷體" w:eastAsia="標楷體" w:hAnsi="標楷體" w:hint="eastAsia"/>
          <w:sz w:val="32"/>
        </w:rPr>
      </w:pPr>
      <w:proofErr w:type="gramStart"/>
      <w:r w:rsidRPr="0081225F">
        <w:rPr>
          <w:rFonts w:ascii="標楷體" w:eastAsia="標楷體" w:hAnsi="標楷體" w:hint="eastAsia"/>
          <w:sz w:val="32"/>
        </w:rPr>
        <w:t>立書人</w:t>
      </w:r>
      <w:proofErr w:type="gramEnd"/>
    </w:p>
    <w:p w:rsidR="00E3065E" w:rsidRPr="0081225F" w:rsidRDefault="00E3065E" w:rsidP="00E3065E">
      <w:pPr>
        <w:spacing w:line="800" w:lineRule="exact"/>
        <w:ind w:leftChars="200" w:left="480" w:firstLineChars="200" w:firstLine="640"/>
        <w:rPr>
          <w:rFonts w:ascii="標楷體" w:eastAsia="標楷體" w:hAnsi="標楷體" w:hint="eastAsia"/>
          <w:sz w:val="32"/>
          <w:u w:val="single"/>
        </w:rPr>
      </w:pPr>
      <w:r w:rsidRPr="00405A1A">
        <w:rPr>
          <w:rFonts w:ascii="標楷體" w:eastAsia="標楷體" w:hAnsi="標楷體" w:hint="eastAsia"/>
          <w:sz w:val="32"/>
        </w:rPr>
        <w:t xml:space="preserve">工地主任：　　　</w:t>
      </w:r>
      <w:r>
        <w:rPr>
          <w:rFonts w:ascii="標楷體" w:eastAsia="標楷體" w:hAnsi="標楷體" w:hint="eastAsia"/>
          <w:sz w:val="32"/>
        </w:rPr>
        <w:t xml:space="preserve">    </w:t>
      </w:r>
      <w:r w:rsidR="00503805">
        <w:rPr>
          <w:rFonts w:ascii="標楷體" w:eastAsia="標楷體" w:hAnsi="標楷體" w:hint="eastAsia"/>
          <w:sz w:val="32"/>
        </w:rPr>
        <w:t xml:space="preserve">        </w:t>
      </w:r>
      <w:r w:rsidRPr="00405A1A">
        <w:rPr>
          <w:rFonts w:ascii="標楷體" w:eastAsia="標楷體" w:hAnsi="標楷體" w:hint="eastAsia"/>
          <w:sz w:val="32"/>
        </w:rPr>
        <w:t>（蓋章）</w:t>
      </w:r>
    </w:p>
    <w:p w:rsidR="00E3065E" w:rsidRDefault="00E3065E" w:rsidP="00E3065E">
      <w:pPr>
        <w:spacing w:line="800" w:lineRule="exact"/>
        <w:ind w:firstLineChars="200" w:firstLine="640"/>
        <w:rPr>
          <w:rFonts w:ascii="標楷體" w:eastAsia="標楷體" w:hAnsi="標楷體" w:hint="eastAsia"/>
          <w:sz w:val="32"/>
        </w:rPr>
      </w:pPr>
    </w:p>
    <w:p w:rsidR="003C2BEC" w:rsidRPr="0081225F" w:rsidRDefault="00E3065E" w:rsidP="00E3065E">
      <w:pPr>
        <w:snapToGrid w:val="0"/>
        <w:spacing w:line="800" w:lineRule="exact"/>
        <w:jc w:val="both"/>
        <w:textDirection w:val="lrTbV"/>
        <w:rPr>
          <w:rFonts w:ascii="標楷體" w:eastAsia="標楷體" w:hAnsi="標楷體" w:hint="eastAsia"/>
          <w:sz w:val="28"/>
          <w:szCs w:val="28"/>
        </w:rPr>
      </w:pPr>
      <w:r w:rsidRPr="00F333B3">
        <w:rPr>
          <w:rFonts w:ascii="標楷體" w:eastAsia="標楷體" w:hAnsi="標楷體" w:hint="eastAsia"/>
          <w:spacing w:val="117"/>
          <w:kern w:val="0"/>
          <w:sz w:val="32"/>
          <w:fitText w:val="8000" w:id="83135232"/>
        </w:rPr>
        <w:t xml:space="preserve">中華民國    年    月   </w:t>
      </w:r>
      <w:r w:rsidRPr="00F333B3">
        <w:rPr>
          <w:rFonts w:ascii="標楷體" w:eastAsia="標楷體" w:hAnsi="標楷體" w:hint="eastAsia"/>
          <w:spacing w:val="11"/>
          <w:kern w:val="0"/>
          <w:sz w:val="32"/>
          <w:fitText w:val="8000" w:id="83135232"/>
        </w:rPr>
        <w:t>日</w:t>
      </w:r>
    </w:p>
    <w:sectPr w:rsidR="003C2BEC" w:rsidRPr="0081225F" w:rsidSect="00E144D6">
      <w:headerReference w:type="default" r:id="rId7"/>
      <w:footerReference w:type="even" r:id="rId8"/>
      <w:footerReference w:type="default" r:id="rId9"/>
      <w:pgSz w:w="11906" w:h="16838"/>
      <w:pgMar w:top="1021" w:right="851" w:bottom="90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29" w:rsidRDefault="00EA2E29">
      <w:r>
        <w:separator/>
      </w:r>
    </w:p>
  </w:endnote>
  <w:endnote w:type="continuationSeparator" w:id="0">
    <w:p w:rsidR="00EA2E29" w:rsidRDefault="00EA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charset w:val="00"/>
    <w:family w:val="roman"/>
    <w:pitch w:val="default"/>
  </w:font>
  <w:font w:name="Arial">
    <w:panose1 w:val="020B0604020202020204"/>
    <w:charset w:val="00"/>
    <w:family w:val="swiss"/>
    <w:pitch w:val="variable"/>
    <w:sig w:usb0="E0002AFF" w:usb1="C0007843" w:usb2="00000009" w:usb3="00000000" w:csb0="000001FF" w:csb1="00000000"/>
  </w:font>
  <w:font w:name="華康粗黑體">
    <w:altName w:val="Arial Unicode MS"/>
    <w:charset w:val="00"/>
    <w:family w:val="modern"/>
    <w:pitch w:val="fixed"/>
  </w:font>
  <w:font w:name="華康仿宋體W4">
    <w:altName w:val="新細明體"/>
    <w:charset w:val="00"/>
    <w:family w:val="modern"/>
    <w:pitch w:val="fixed"/>
  </w:font>
  <w:font w:name="全真楷書">
    <w:altName w:val="新細明體"/>
    <w:charset w:val="88"/>
    <w:family w:val="modern"/>
    <w:pitch w:val="default"/>
  </w:font>
  <w:font w:name="Calibri">
    <w:panose1 w:val="020F0502020204030204"/>
    <w:charset w:val="00"/>
    <w:family w:val="swiss"/>
    <w:pitch w:val="variable"/>
    <w:sig w:usb0="E0002AFF" w:usb1="4000ACFF" w:usb2="00000001" w:usb3="00000000" w:csb0="000001FF" w:csb1="00000000"/>
  </w:font>
  <w:font w:name="雅真中楷">
    <w:altName w:val="新細明體"/>
    <w:charset w:val="00"/>
    <w:family w:val="modern"/>
    <w:pitch w:val="fixed"/>
  </w:font>
  <w:font w:name="華康隸書體W5">
    <w:altName w:val="新細明體"/>
    <w:charset w:val="00"/>
    <w:family w:val="script"/>
    <w:pitch w:val="fixed"/>
  </w:font>
  <w:font w:name="華康楷書體W5">
    <w:charset w:val="88"/>
    <w:family w:val="script"/>
    <w:pitch w:val="fixed"/>
    <w:sig w:usb0="800002E3" w:usb1="28CFFCFA" w:usb2="00000016" w:usb3="00000000" w:csb0="00100001" w:csb1="00000000"/>
  </w:font>
  <w:font w:name="華康特粗楷體">
    <w:altName w:val="新細明體"/>
    <w:charset w:val="00"/>
    <w:family w:val="script"/>
    <w:pitch w:val="fixed"/>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新字海-粗楷">
    <w:altName w:val="細明體"/>
    <w:charset w:val="00"/>
    <w:family w:val="modern"/>
    <w:pitch w:val="fixed"/>
  </w:font>
  <w:font w:name="全真中仿宋">
    <w:charset w:val="88"/>
    <w:family w:val="modern"/>
    <w:pitch w:val="fixed"/>
    <w:sig w:usb0="00000001" w:usb1="08080000" w:usb2="00000010" w:usb3="00000000" w:csb0="00100000" w:csb1="00000000"/>
  </w:font>
  <w:font w:name="全真粗黑體">
    <w:charset w:val="00"/>
    <w:family w:val="modern"/>
    <w:pitch w:val="fixed"/>
  </w:font>
  <w:font w:name="華康中楷體">
    <w:altName w:val="新細明體"/>
    <w:charset w:val="00"/>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22" w:rsidRDefault="00006722">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06722" w:rsidRDefault="000067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22" w:rsidRDefault="00006722">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30692">
      <w:rPr>
        <w:rStyle w:val="af0"/>
        <w:noProof/>
      </w:rPr>
      <w:t>22</w:t>
    </w:r>
    <w:r>
      <w:rPr>
        <w:rStyle w:val="af0"/>
      </w:rPr>
      <w:fldChar w:fldCharType="end"/>
    </w:r>
  </w:p>
  <w:p w:rsidR="00006722" w:rsidRDefault="000067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29" w:rsidRDefault="00EA2E29">
      <w:r>
        <w:separator/>
      </w:r>
    </w:p>
  </w:footnote>
  <w:footnote w:type="continuationSeparator" w:id="0">
    <w:p w:rsidR="00EA2E29" w:rsidRDefault="00EA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722" w:rsidRDefault="00006722" w:rsidP="00F91E12">
    <w:pPr>
      <w:pStyle w:val="a8"/>
      <w:jc w:val="right"/>
      <w:rPr>
        <w:rFonts w:hint="eastAsia"/>
        <w:sz w:val="16"/>
      </w:rPr>
    </w:pPr>
    <w:proofErr w:type="gramStart"/>
    <w:r>
      <w:rPr>
        <w:color w:val="FF00FF"/>
      </w:rPr>
      <w:t>工程企字第</w:t>
    </w:r>
    <w:r>
      <w:rPr>
        <w:color w:val="FF00FF"/>
      </w:rPr>
      <w:t>10100017900</w:t>
    </w:r>
    <w:r>
      <w:rPr>
        <w:color w:val="FF00FF"/>
      </w:rPr>
      <w:t>號</w:t>
    </w:r>
    <w:proofErr w:type="gramEnd"/>
    <w:r>
      <w:rPr>
        <w:rFonts w:hint="eastAsia"/>
        <w:color w:val="FF00FF"/>
      </w:rPr>
      <w:t>(</w:t>
    </w:r>
    <w:r>
      <w:rPr>
        <w:rFonts w:hint="eastAsia"/>
        <w:sz w:val="16"/>
      </w:rPr>
      <w:t>101</w:t>
    </w:r>
    <w:r>
      <w:rPr>
        <w:rFonts w:hint="eastAsia"/>
        <w:sz w:val="16"/>
      </w:rPr>
      <w:t>年</w:t>
    </w:r>
    <w:r>
      <w:rPr>
        <w:rFonts w:hint="eastAsia"/>
        <w:sz w:val="16"/>
      </w:rPr>
      <w:t>01</w:t>
    </w:r>
    <w:r>
      <w:rPr>
        <w:rFonts w:hint="eastAsia"/>
        <w:sz w:val="16"/>
      </w:rPr>
      <w:t>月</w:t>
    </w:r>
    <w:r>
      <w:rPr>
        <w:rFonts w:hint="eastAsia"/>
        <w:sz w:val="16"/>
      </w:rPr>
      <w:t>13</w:t>
    </w:r>
    <w:r>
      <w:rPr>
        <w:rFonts w:hint="eastAsia"/>
        <w:sz w:val="16"/>
      </w:rPr>
      <w:t>日版本</w:t>
    </w:r>
    <w:r>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7D41"/>
    <w:multiLevelType w:val="hybridMultilevel"/>
    <w:tmpl w:val="7E006836"/>
    <w:lvl w:ilvl="0" w:tplc="72F47174">
      <w:start w:val="1"/>
      <w:numFmt w:val="lowerLetter"/>
      <w:lvlText w:val="%1."/>
      <w:lvlJc w:val="left"/>
      <w:pPr>
        <w:tabs>
          <w:tab w:val="num" w:pos="1837"/>
        </w:tabs>
        <w:ind w:left="1837" w:hanging="397"/>
      </w:pPr>
      <w:rPr>
        <w:rFonts w:hint="eastAsia"/>
      </w:rPr>
    </w:lvl>
    <w:lvl w:ilvl="1" w:tplc="04090019">
      <w:start w:val="1"/>
      <w:numFmt w:val="ideographTraditional"/>
      <w:lvlText w:val="%2、"/>
      <w:lvlJc w:val="left"/>
      <w:pPr>
        <w:tabs>
          <w:tab w:val="num" w:pos="960"/>
        </w:tabs>
        <w:ind w:left="960" w:hanging="480"/>
      </w:pPr>
    </w:lvl>
    <w:lvl w:ilvl="2" w:tplc="C9E6F6CE">
      <w:start w:val="5"/>
      <w:numFmt w:val="taiwaneseCountingThousand"/>
      <w:lvlText w:val="第%3條"/>
      <w:lvlJc w:val="left"/>
      <w:pPr>
        <w:tabs>
          <w:tab w:val="num" w:pos="1680"/>
        </w:tabs>
        <w:ind w:left="1680" w:hanging="720"/>
      </w:pPr>
      <w:rPr>
        <w:rFonts w:hint="eastAsia"/>
      </w:rPr>
    </w:lvl>
    <w:lvl w:ilvl="3" w:tplc="EBB643F0">
      <w:start w:val="1"/>
      <w:numFmt w:val="taiwaneseCountingThousand"/>
      <w:lvlText w:val="%4、"/>
      <w:lvlJc w:val="left"/>
      <w:pPr>
        <w:ind w:left="1830" w:hanging="390"/>
      </w:pPr>
      <w:rPr>
        <w:rFonts w:ascii="Times New Roman" w:hAnsi="Times New Roman" w:hint="default"/>
        <w:color w:val="auto"/>
        <w:u w:val="none"/>
      </w:rPr>
    </w:lvl>
    <w:lvl w:ilvl="4" w:tplc="4DB23DFE">
      <w:start w:val="1"/>
      <w:numFmt w:val="taiwaneseCountingThousand"/>
      <w:lvlText w:val="（%5）"/>
      <w:lvlJc w:val="left"/>
      <w:pPr>
        <w:ind w:left="2640" w:hanging="720"/>
      </w:pPr>
      <w:rPr>
        <w:rFonts w:cs="Times New Roman"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6E526D"/>
    <w:multiLevelType w:val="hybridMultilevel"/>
    <w:tmpl w:val="EB747E68"/>
    <w:lvl w:ilvl="0" w:tplc="8C2A9512">
      <w:start w:val="1"/>
      <w:numFmt w:val="taiwaneseCountingThousand"/>
      <w:lvlText w:val="(%1)"/>
      <w:lvlJc w:val="left"/>
      <w:pPr>
        <w:tabs>
          <w:tab w:val="num" w:pos="851"/>
        </w:tabs>
        <w:ind w:left="851" w:hanging="567"/>
      </w:pPr>
      <w:rPr>
        <w:rFonts w:hint="eastAsia"/>
        <w:u w:val="none"/>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 w15:restartNumberingAfterBreak="0">
    <w:nsid w:val="095F3DD6"/>
    <w:multiLevelType w:val="hybridMultilevel"/>
    <w:tmpl w:val="3C8E9CE8"/>
    <w:lvl w:ilvl="0" w:tplc="83468198">
      <w:start w:val="1"/>
      <w:numFmt w:val="lowerLetter"/>
      <w:pStyle w:val="4-1"/>
      <w:lvlText w:val="%1."/>
      <w:lvlJc w:val="left"/>
      <w:pPr>
        <w:tabs>
          <w:tab w:val="num" w:pos="2280"/>
        </w:tabs>
        <w:ind w:left="2280" w:hanging="480"/>
      </w:pPr>
      <w:rPr>
        <w:rFonts w:hint="eastAsia"/>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 w15:restartNumberingAfterBreak="0">
    <w:nsid w:val="0B7E121C"/>
    <w:multiLevelType w:val="hybridMultilevel"/>
    <w:tmpl w:val="4FA4D614"/>
    <w:lvl w:ilvl="0" w:tplc="57A84D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ED3308"/>
    <w:multiLevelType w:val="hybridMultilevel"/>
    <w:tmpl w:val="645A61E6"/>
    <w:lvl w:ilvl="0" w:tplc="291A2FE8">
      <w:start w:val="1"/>
      <w:numFmt w:val="lowerLetter"/>
      <w:lvlText w:val="(%1)"/>
      <w:lvlJc w:val="left"/>
      <w:pPr>
        <w:tabs>
          <w:tab w:val="num" w:pos="2187"/>
        </w:tabs>
        <w:ind w:left="2187" w:hanging="567"/>
      </w:pPr>
      <w:rPr>
        <w:rFonts w:hint="eastAsia"/>
      </w:rPr>
    </w:lvl>
    <w:lvl w:ilvl="1" w:tplc="3F340E54">
      <w:start w:val="1"/>
      <w:numFmt w:val="decimal"/>
      <w:lvlText w:val="%2."/>
      <w:lvlJc w:val="left"/>
      <w:pPr>
        <w:tabs>
          <w:tab w:val="num" w:pos="840"/>
        </w:tabs>
        <w:ind w:left="840" w:hanging="360"/>
      </w:pPr>
      <w:rPr>
        <w:rFonts w:hint="eastAsia"/>
      </w:rPr>
    </w:lvl>
    <w:lvl w:ilvl="2" w:tplc="394A308A">
      <w:start w:val="1"/>
      <w:numFmt w:val="taiwaneseCountingThousand"/>
      <w:lvlText w:val="(%3)"/>
      <w:lvlJc w:val="left"/>
      <w:pPr>
        <w:tabs>
          <w:tab w:val="num" w:pos="1320"/>
        </w:tabs>
        <w:ind w:left="1320" w:hanging="360"/>
      </w:pPr>
      <w:rPr>
        <w:rFonts w:hint="eastAsia"/>
      </w:rPr>
    </w:lvl>
    <w:lvl w:ilvl="3" w:tplc="F7D06EE6">
      <w:start w:val="1"/>
      <w:numFmt w:val="taiwaneseCountingThousand"/>
      <w:lvlText w:val="%4、"/>
      <w:lvlJc w:val="left"/>
      <w:pPr>
        <w:tabs>
          <w:tab w:val="num" w:pos="2160"/>
        </w:tabs>
        <w:ind w:left="2160" w:hanging="720"/>
      </w:pPr>
      <w:rPr>
        <w:rFonts w:hint="eastAsia"/>
      </w:rPr>
    </w:lvl>
    <w:lvl w:ilvl="4" w:tplc="7A105A1A">
      <w:start w:val="1"/>
      <w:numFmt w:val="taiwaneseCountingThousand"/>
      <w:lvlText w:val="（%5）"/>
      <w:lvlJc w:val="left"/>
      <w:pPr>
        <w:tabs>
          <w:tab w:val="num" w:pos="902"/>
        </w:tabs>
        <w:ind w:left="902" w:firstLine="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9254DB"/>
    <w:multiLevelType w:val="hybridMultilevel"/>
    <w:tmpl w:val="E5D0FAD6"/>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DC86B778">
      <w:start w:val="1"/>
      <w:numFmt w:val="decimal"/>
      <w:lvlText w:val="%4."/>
      <w:lvlJc w:val="left"/>
      <w:pPr>
        <w:tabs>
          <w:tab w:val="num" w:pos="1800"/>
        </w:tabs>
        <w:ind w:left="1800" w:hanging="360"/>
      </w:pPr>
      <w:rPr>
        <w:rFonts w:hint="eastAsia"/>
      </w:rPr>
    </w:lvl>
    <w:lvl w:ilvl="4" w:tplc="E2D80746">
      <w:start w:val="1"/>
      <w:numFmt w:val="decimal"/>
      <w:lvlText w:val="%5、"/>
      <w:lvlJc w:val="left"/>
      <w:pPr>
        <w:tabs>
          <w:tab w:val="num" w:pos="2487"/>
        </w:tabs>
        <w:ind w:left="2487" w:hanging="567"/>
      </w:pPr>
      <w:rPr>
        <w:rFonts w:hint="eastAsia"/>
      </w:rPr>
    </w:lvl>
    <w:lvl w:ilvl="5" w:tplc="8F2296E0">
      <w:start w:val="1"/>
      <w:numFmt w:val="taiwaneseCountingThousand"/>
      <w:lvlText w:val="（%6）"/>
      <w:lvlJc w:val="left"/>
      <w:pPr>
        <w:tabs>
          <w:tab w:val="num" w:pos="3120"/>
        </w:tabs>
        <w:ind w:left="3120" w:hanging="720"/>
      </w:pPr>
      <w:rPr>
        <w:rFonts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D67EA8"/>
    <w:multiLevelType w:val="hybridMultilevel"/>
    <w:tmpl w:val="C166EBC2"/>
    <w:lvl w:ilvl="0" w:tplc="3854400E">
      <w:start w:val="1"/>
      <w:numFmt w:val="taiwaneseCountingThousand"/>
      <w:lvlText w:val="%1、"/>
      <w:lvlJc w:val="left"/>
      <w:pPr>
        <w:ind w:left="1316" w:hanging="720"/>
      </w:pPr>
      <w:rPr>
        <w:rFonts w:hint="default"/>
      </w:rPr>
    </w:lvl>
    <w:lvl w:ilvl="1" w:tplc="04090019" w:tentative="1">
      <w:start w:val="1"/>
      <w:numFmt w:val="ideographTraditional"/>
      <w:lvlText w:val="%2、"/>
      <w:lvlJc w:val="left"/>
      <w:pPr>
        <w:ind w:left="1556" w:hanging="480"/>
      </w:p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7" w15:restartNumberingAfterBreak="0">
    <w:nsid w:val="0E08766E"/>
    <w:multiLevelType w:val="hybridMultilevel"/>
    <w:tmpl w:val="85D4A608"/>
    <w:lvl w:ilvl="0" w:tplc="02D85072">
      <w:start w:val="1"/>
      <w:numFmt w:val="taiwaneseCountingThousand"/>
      <w:lvlText w:val="（%1）"/>
      <w:lvlJc w:val="left"/>
      <w:pPr>
        <w:ind w:left="1860" w:hanging="855"/>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8"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2244" w:hanging="825"/>
      </w:pPr>
      <w:rPr>
        <w:rFonts w:hint="default"/>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9" w15:restartNumberingAfterBreak="0">
    <w:nsid w:val="10FF4773"/>
    <w:multiLevelType w:val="hybridMultilevel"/>
    <w:tmpl w:val="6D524F08"/>
    <w:lvl w:ilvl="0" w:tplc="50B6E8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8D6E11"/>
    <w:multiLevelType w:val="hybridMultilevel"/>
    <w:tmpl w:val="95345C16"/>
    <w:lvl w:ilvl="0" w:tplc="056C51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7C81B6F"/>
    <w:multiLevelType w:val="hybridMultilevel"/>
    <w:tmpl w:val="D72E8C64"/>
    <w:lvl w:ilvl="0" w:tplc="FFFFFFFF">
      <w:start w:val="1"/>
      <w:numFmt w:val="decimal"/>
      <w:lvlText w:val="%1."/>
      <w:lvlJc w:val="left"/>
      <w:pPr>
        <w:tabs>
          <w:tab w:val="num" w:pos="1860"/>
        </w:tabs>
        <w:ind w:left="1860" w:hanging="420"/>
      </w:pPr>
      <w:rPr>
        <w:rFonts w:ascii="標楷體" w:hint="eastAsia"/>
        <w:color w:val="000000"/>
      </w:rPr>
    </w:lvl>
    <w:lvl w:ilvl="1" w:tplc="FFFFFFFF">
      <w:start w:val="2"/>
      <w:numFmt w:val="bullet"/>
      <w:lvlText w:val="□"/>
      <w:lvlJc w:val="left"/>
      <w:pPr>
        <w:tabs>
          <w:tab w:val="num" w:pos="2280"/>
        </w:tabs>
        <w:ind w:left="2280" w:hanging="360"/>
      </w:pPr>
      <w:rPr>
        <w:rFonts w:ascii="標楷體" w:eastAsia="標楷體" w:hAnsi="標楷體" w:cs="Times New Roman" w:hint="eastAsia"/>
        <w:color w:val="auto"/>
      </w:rPr>
    </w:lvl>
    <w:lvl w:ilvl="2" w:tplc="FFFFFFFF">
      <w:start w:val="1"/>
      <w:numFmt w:val="taiwaneseCountingThousand"/>
      <w:lvlText w:val="(%3)"/>
      <w:lvlJc w:val="left"/>
      <w:pPr>
        <w:tabs>
          <w:tab w:val="num" w:pos="3120"/>
        </w:tabs>
        <w:ind w:left="3120" w:hanging="720"/>
      </w:pPr>
      <w:rPr>
        <w:rFonts w:hAnsi="標楷體" w:hint="eastAsia"/>
        <w:color w:val="000000"/>
      </w:rPr>
    </w:lvl>
    <w:lvl w:ilvl="3" w:tplc="FFFFFFFF">
      <w:start w:val="1"/>
      <w:numFmt w:val="taiwaneseCountingThousand"/>
      <w:lvlText w:val="%4、"/>
      <w:lvlJc w:val="left"/>
      <w:pPr>
        <w:tabs>
          <w:tab w:val="num" w:pos="3600"/>
        </w:tabs>
        <w:ind w:left="3600" w:hanging="720"/>
      </w:pPr>
      <w:rPr>
        <w:rFonts w:hint="eastAsia"/>
      </w:r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12" w15:restartNumberingAfterBreak="0">
    <w:nsid w:val="223A4CF8"/>
    <w:multiLevelType w:val="hybridMultilevel"/>
    <w:tmpl w:val="8FB21784"/>
    <w:lvl w:ilvl="0" w:tplc="701C43F8">
      <w:start w:val="1"/>
      <w:numFmt w:val="taiwaneseCountingThousand"/>
      <w:lvlText w:val="（%1）"/>
      <w:lvlJc w:val="left"/>
      <w:pPr>
        <w:ind w:left="1520" w:hanging="810"/>
      </w:pPr>
      <w:rPr>
        <w:rFonts w:hint="default"/>
        <w:color w:val="000000"/>
      </w:rPr>
    </w:lvl>
    <w:lvl w:ilvl="1" w:tplc="3EB4DF38">
      <w:start w:val="1"/>
      <w:numFmt w:val="taiwaneseCountingThousand"/>
      <w:lvlText w:val="%2、"/>
      <w:lvlJc w:val="left"/>
      <w:pPr>
        <w:tabs>
          <w:tab w:val="num" w:pos="1910"/>
        </w:tabs>
        <w:ind w:left="1910" w:hanging="720"/>
      </w:pPr>
      <w:rPr>
        <w:rFonts w:hint="eastAsia"/>
      </w:rPr>
    </w:lvl>
    <w:lvl w:ilvl="2" w:tplc="DFB0FC98">
      <w:start w:val="1"/>
      <w:numFmt w:val="taiwaneseCountingThousand"/>
      <w:lvlText w:val="（%3）"/>
      <w:lvlJc w:val="left"/>
      <w:pPr>
        <w:ind w:left="2510" w:hanging="840"/>
      </w:pPr>
      <w:rPr>
        <w:rFonts w:hint="default"/>
      </w:rPr>
    </w:lvl>
    <w:lvl w:ilvl="3" w:tplc="532E6ECC"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244F1DF6"/>
    <w:multiLevelType w:val="multilevel"/>
    <w:tmpl w:val="40F458A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pStyle w:val="4"/>
      <w:lvlText w:val="%4、"/>
      <w:lvlJc w:val="left"/>
      <w:pPr>
        <w:tabs>
          <w:tab w:val="num" w:pos="1467"/>
        </w:tabs>
        <w:ind w:left="1467" w:hanging="567"/>
      </w:pPr>
      <w:rPr>
        <w:rFonts w:ascii="標楷體" w:eastAsia="標楷體" w:hAnsi="標楷體" w:hint="eastAsia"/>
        <w:b w:val="0"/>
        <w:i w:val="0"/>
        <w:sz w:val="24"/>
        <w:bdr w:val="none" w:sz="0" w:space="0" w:color="auto"/>
        <w:lang w:val="en-US"/>
      </w:rPr>
    </w:lvl>
    <w:lvl w:ilvl="4">
      <w:start w:val="1"/>
      <w:numFmt w:val="taiwaneseCountingThousand"/>
      <w:pStyle w:val="5"/>
      <w:lvlText w:val="(%5)　"/>
      <w:lvlJc w:val="left"/>
      <w:pPr>
        <w:tabs>
          <w:tab w:val="num" w:pos="1418"/>
        </w:tabs>
        <w:ind w:left="1418" w:hanging="567"/>
      </w:pPr>
      <w:rPr>
        <w:rFonts w:ascii="標楷體" w:eastAsia="標楷體" w:hint="eastAsia"/>
        <w:b w:val="0"/>
        <w:i w:val="0"/>
        <w:sz w:val="24"/>
      </w:rPr>
    </w:lvl>
    <w:lvl w:ilvl="5">
      <w:start w:val="1"/>
      <w:numFmt w:val="decimal"/>
      <w:pStyle w:val="6"/>
      <w:lvlText w:val="%6"/>
      <w:lvlJc w:val="left"/>
      <w:pPr>
        <w:tabs>
          <w:tab w:val="num" w:pos="1778"/>
        </w:tabs>
        <w:ind w:left="1701" w:hanging="283"/>
      </w:pPr>
      <w:rPr>
        <w:rFonts w:ascii="新細明體" w:eastAsia="新細明體" w:hint="eastAsia"/>
        <w:b w:val="0"/>
        <w:i w:val="0"/>
        <w:sz w:val="24"/>
      </w:rPr>
    </w:lvl>
    <w:lvl w:ilvl="6">
      <w:start w:val="1"/>
      <w:numFmt w:val="lowerRoman"/>
      <w:pStyle w:val="7"/>
      <w:lvlText w:val="%7."/>
      <w:lvlJc w:val="left"/>
      <w:pPr>
        <w:tabs>
          <w:tab w:val="num" w:pos="3629"/>
        </w:tabs>
        <w:ind w:left="3629" w:hanging="681"/>
      </w:pPr>
      <w:rPr>
        <w:rFonts w:ascii="華康儷粗黑" w:eastAsia="華康儷粗黑" w:hint="eastAsia"/>
        <w:b w:val="0"/>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4" w15:restartNumberingAfterBreak="0">
    <w:nsid w:val="2682003E"/>
    <w:multiLevelType w:val="hybridMultilevel"/>
    <w:tmpl w:val="F0E2ACCC"/>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5" w15:restartNumberingAfterBreak="0">
    <w:nsid w:val="386C4D48"/>
    <w:multiLevelType w:val="hybridMultilevel"/>
    <w:tmpl w:val="1C0672FA"/>
    <w:lvl w:ilvl="0" w:tplc="C57251E6">
      <w:start w:val="1"/>
      <w:numFmt w:val="taiwaneseCountingThousand"/>
      <w:lvlText w:val="%1、"/>
      <w:lvlJc w:val="left"/>
      <w:pPr>
        <w:tabs>
          <w:tab w:val="num" w:pos="737"/>
        </w:tabs>
        <w:ind w:left="737" w:hanging="453"/>
      </w:pPr>
      <w:rPr>
        <w:rFonts w:hint="eastAsia"/>
        <w:u w:val="single"/>
      </w:rPr>
    </w:lvl>
    <w:lvl w:ilvl="1" w:tplc="7ECA771E">
      <w:start w:val="1"/>
      <w:numFmt w:val="taiwaneseCountingThousand"/>
      <w:lvlText w:val="(%2)"/>
      <w:lvlJc w:val="left"/>
      <w:pPr>
        <w:tabs>
          <w:tab w:val="num" w:pos="1047"/>
        </w:tabs>
        <w:ind w:left="104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723A8D"/>
    <w:multiLevelType w:val="hybridMultilevel"/>
    <w:tmpl w:val="D98EA196"/>
    <w:lvl w:ilvl="0" w:tplc="C862F6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F46310"/>
    <w:multiLevelType w:val="hybridMultilevel"/>
    <w:tmpl w:val="69A2E29E"/>
    <w:lvl w:ilvl="0" w:tplc="FFFFFFFF">
      <w:start w:val="1"/>
      <w:numFmt w:val="taiwaneseCountingThousand"/>
      <w:lvlText w:val="%1、"/>
      <w:lvlJc w:val="left"/>
      <w:pPr>
        <w:ind w:left="630" w:hanging="420"/>
      </w:pPr>
      <w:rPr>
        <w:rFonts w:hint="default"/>
      </w:rPr>
    </w:lvl>
    <w:lvl w:ilvl="1" w:tplc="FFFFFFFF">
      <w:start w:val="1"/>
      <w:numFmt w:val="taiwaneseCountingThousand"/>
      <w:lvlText w:val="（%2）"/>
      <w:lvlJc w:val="left"/>
      <w:pPr>
        <w:tabs>
          <w:tab w:val="num" w:pos="1410"/>
        </w:tabs>
        <w:ind w:left="1410" w:hanging="720"/>
      </w:pPr>
      <w:rPr>
        <w:rFonts w:hint="eastAsia"/>
      </w:rPr>
    </w:lvl>
    <w:lvl w:ilvl="2" w:tplc="FFFFFFFF">
      <w:start w:val="1"/>
      <w:numFmt w:val="taiwaneseCountingThousand"/>
      <w:lvlText w:val="（%3）"/>
      <w:lvlJc w:val="left"/>
      <w:pPr>
        <w:ind w:left="2055" w:hanging="885"/>
      </w:pPr>
      <w:rPr>
        <w:rFonts w:hint="default"/>
      </w:rPr>
    </w:lvl>
    <w:lvl w:ilvl="3" w:tplc="FFFFFFFF" w:tentative="1">
      <w:start w:val="1"/>
      <w:numFmt w:val="decimal"/>
      <w:lvlText w:val="%4."/>
      <w:lvlJc w:val="left"/>
      <w:pPr>
        <w:ind w:left="2130" w:hanging="480"/>
      </w:pPr>
    </w:lvl>
    <w:lvl w:ilvl="4" w:tplc="FFFFFFFF" w:tentative="1">
      <w:start w:val="1"/>
      <w:numFmt w:val="ideographTraditional"/>
      <w:lvlText w:val="%5、"/>
      <w:lvlJc w:val="left"/>
      <w:pPr>
        <w:ind w:left="2610" w:hanging="480"/>
      </w:pPr>
    </w:lvl>
    <w:lvl w:ilvl="5" w:tplc="FFFFFFFF" w:tentative="1">
      <w:start w:val="1"/>
      <w:numFmt w:val="lowerRoman"/>
      <w:lvlText w:val="%6."/>
      <w:lvlJc w:val="right"/>
      <w:pPr>
        <w:ind w:left="3090" w:hanging="480"/>
      </w:pPr>
    </w:lvl>
    <w:lvl w:ilvl="6" w:tplc="FFFFFFFF" w:tentative="1">
      <w:start w:val="1"/>
      <w:numFmt w:val="decimal"/>
      <w:lvlText w:val="%7."/>
      <w:lvlJc w:val="left"/>
      <w:pPr>
        <w:ind w:left="3570" w:hanging="480"/>
      </w:pPr>
    </w:lvl>
    <w:lvl w:ilvl="7" w:tplc="FFFFFFFF" w:tentative="1">
      <w:start w:val="1"/>
      <w:numFmt w:val="ideographTraditional"/>
      <w:lvlText w:val="%8、"/>
      <w:lvlJc w:val="left"/>
      <w:pPr>
        <w:ind w:left="4050" w:hanging="480"/>
      </w:pPr>
    </w:lvl>
    <w:lvl w:ilvl="8" w:tplc="FFFFFFFF" w:tentative="1">
      <w:start w:val="1"/>
      <w:numFmt w:val="lowerRoman"/>
      <w:lvlText w:val="%9."/>
      <w:lvlJc w:val="right"/>
      <w:pPr>
        <w:ind w:left="4530" w:hanging="480"/>
      </w:pPr>
    </w:lvl>
  </w:abstractNum>
  <w:abstractNum w:abstractNumId="18" w15:restartNumberingAfterBreak="0">
    <w:nsid w:val="43FB3B91"/>
    <w:multiLevelType w:val="hybridMultilevel"/>
    <w:tmpl w:val="A5705DE6"/>
    <w:lvl w:ilvl="0" w:tplc="FFFFFFFF">
      <w:start w:val="1"/>
      <w:numFmt w:val="taiwaneseCountingThousand"/>
      <w:lvlText w:val="%1、"/>
      <w:lvlJc w:val="left"/>
      <w:pPr>
        <w:ind w:left="1195" w:hanging="720"/>
      </w:pPr>
      <w:rPr>
        <w:rFonts w:hAnsi="標楷體" w:hint="default"/>
      </w:rPr>
    </w:lvl>
    <w:lvl w:ilvl="1" w:tplc="FFFFFFFF" w:tentative="1">
      <w:start w:val="1"/>
      <w:numFmt w:val="ideographTraditional"/>
      <w:lvlText w:val="%2、"/>
      <w:lvlJc w:val="left"/>
      <w:pPr>
        <w:ind w:left="1435" w:hanging="480"/>
      </w:pPr>
    </w:lvl>
    <w:lvl w:ilvl="2" w:tplc="FFFFFFFF">
      <w:start w:val="1"/>
      <w:numFmt w:val="lowerRoman"/>
      <w:lvlText w:val="%3."/>
      <w:lvlJc w:val="right"/>
      <w:pPr>
        <w:ind w:left="1915" w:hanging="480"/>
      </w:pPr>
    </w:lvl>
    <w:lvl w:ilvl="3" w:tplc="FFFFFFFF" w:tentative="1">
      <w:start w:val="1"/>
      <w:numFmt w:val="decimal"/>
      <w:lvlText w:val="%4."/>
      <w:lvlJc w:val="left"/>
      <w:pPr>
        <w:ind w:left="2395" w:hanging="480"/>
      </w:pPr>
    </w:lvl>
    <w:lvl w:ilvl="4" w:tplc="FFFFFFFF" w:tentative="1">
      <w:start w:val="1"/>
      <w:numFmt w:val="ideographTraditional"/>
      <w:lvlText w:val="%5、"/>
      <w:lvlJc w:val="left"/>
      <w:pPr>
        <w:ind w:left="2875" w:hanging="480"/>
      </w:pPr>
    </w:lvl>
    <w:lvl w:ilvl="5" w:tplc="FFFFFFFF" w:tentative="1">
      <w:start w:val="1"/>
      <w:numFmt w:val="lowerRoman"/>
      <w:lvlText w:val="%6."/>
      <w:lvlJc w:val="right"/>
      <w:pPr>
        <w:ind w:left="3355" w:hanging="480"/>
      </w:pPr>
    </w:lvl>
    <w:lvl w:ilvl="6" w:tplc="FFFFFFFF" w:tentative="1">
      <w:start w:val="1"/>
      <w:numFmt w:val="decimal"/>
      <w:lvlText w:val="%7."/>
      <w:lvlJc w:val="left"/>
      <w:pPr>
        <w:ind w:left="3835" w:hanging="480"/>
      </w:pPr>
    </w:lvl>
    <w:lvl w:ilvl="7" w:tplc="FFFFFFFF" w:tentative="1">
      <w:start w:val="1"/>
      <w:numFmt w:val="ideographTraditional"/>
      <w:lvlText w:val="%8、"/>
      <w:lvlJc w:val="left"/>
      <w:pPr>
        <w:ind w:left="4315" w:hanging="480"/>
      </w:pPr>
    </w:lvl>
    <w:lvl w:ilvl="8" w:tplc="FFFFFFFF" w:tentative="1">
      <w:start w:val="1"/>
      <w:numFmt w:val="lowerRoman"/>
      <w:lvlText w:val="%9."/>
      <w:lvlJc w:val="right"/>
      <w:pPr>
        <w:ind w:left="4795" w:hanging="480"/>
      </w:pPr>
    </w:lvl>
  </w:abstractNum>
  <w:abstractNum w:abstractNumId="19" w15:restartNumberingAfterBreak="0">
    <w:nsid w:val="48331051"/>
    <w:multiLevelType w:val="hybridMultilevel"/>
    <w:tmpl w:val="67A6ECFC"/>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15:restartNumberingAfterBreak="0">
    <w:nsid w:val="4A1B41D4"/>
    <w:multiLevelType w:val="hybridMultilevel"/>
    <w:tmpl w:val="3788B454"/>
    <w:lvl w:ilvl="0" w:tplc="7A105A1A">
      <w:start w:val="1"/>
      <w:numFmt w:val="taiwaneseCountingThousand"/>
      <w:lvlText w:val="（%1）"/>
      <w:lvlJc w:val="left"/>
      <w:pPr>
        <w:tabs>
          <w:tab w:val="num" w:pos="902"/>
        </w:tabs>
        <w:ind w:left="902"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A00F0C"/>
    <w:multiLevelType w:val="hybridMultilevel"/>
    <w:tmpl w:val="DECE102A"/>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4B4F5F10"/>
    <w:multiLevelType w:val="hybridMultilevel"/>
    <w:tmpl w:val="144AAAA2"/>
    <w:lvl w:ilvl="0" w:tplc="C032B400">
      <w:start w:val="1"/>
      <w:numFmt w:val="taiwaneseCountingThousand"/>
      <w:lvlText w:val="%1、"/>
      <w:lvlJc w:val="left"/>
      <w:pPr>
        <w:ind w:left="1005" w:hanging="720"/>
      </w:pPr>
      <w:rPr>
        <w:rFonts w:hint="default"/>
      </w:rPr>
    </w:lvl>
    <w:lvl w:ilvl="1" w:tplc="04090019">
      <w:start w:val="1"/>
      <w:numFmt w:val="lowerLetter"/>
      <w:lvlText w:val="%2、"/>
      <w:lvlJc w:val="left"/>
      <w:pPr>
        <w:tabs>
          <w:tab w:val="num" w:pos="1125"/>
        </w:tabs>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DAD2373"/>
    <w:multiLevelType w:val="hybridMultilevel"/>
    <w:tmpl w:val="329E2D8C"/>
    <w:lvl w:ilvl="0" w:tplc="0C6E490A">
      <w:start w:val="1"/>
      <w:numFmt w:val="taiwaneseCountingThousand"/>
      <w:lvlText w:val="%1、"/>
      <w:lvlJc w:val="left"/>
      <w:pPr>
        <w:tabs>
          <w:tab w:val="num" w:pos="737"/>
        </w:tabs>
        <w:ind w:left="737" w:hanging="453"/>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B920FC"/>
    <w:multiLevelType w:val="hybridMultilevel"/>
    <w:tmpl w:val="81CAAE54"/>
    <w:lvl w:ilvl="0" w:tplc="4DEEF55E">
      <w:start w:val="1"/>
      <w:numFmt w:val="taiwaneseCountingThousand"/>
      <w:lvlText w:val="（%1）"/>
      <w:lvlJc w:val="left"/>
      <w:pPr>
        <w:ind w:left="2295" w:hanging="855"/>
      </w:pPr>
      <w:rPr>
        <w:rFonts w:hint="default"/>
      </w:rPr>
    </w:lvl>
    <w:lvl w:ilvl="1" w:tplc="04090003" w:tentative="1">
      <w:start w:val="1"/>
      <w:numFmt w:val="ideographTraditional"/>
      <w:lvlText w:val="%2、"/>
      <w:lvlJc w:val="left"/>
      <w:pPr>
        <w:ind w:left="1965" w:hanging="480"/>
      </w:pPr>
    </w:lvl>
    <w:lvl w:ilvl="2" w:tplc="04090005" w:tentative="1">
      <w:start w:val="1"/>
      <w:numFmt w:val="lowerRoman"/>
      <w:lvlText w:val="%3."/>
      <w:lvlJc w:val="right"/>
      <w:pPr>
        <w:ind w:left="2445" w:hanging="480"/>
      </w:pPr>
    </w:lvl>
    <w:lvl w:ilvl="3" w:tplc="04090001" w:tentative="1">
      <w:start w:val="1"/>
      <w:numFmt w:val="decimal"/>
      <w:lvlText w:val="%4."/>
      <w:lvlJc w:val="left"/>
      <w:pPr>
        <w:ind w:left="2925" w:hanging="480"/>
      </w:pPr>
    </w:lvl>
    <w:lvl w:ilvl="4" w:tplc="04090003" w:tentative="1">
      <w:start w:val="1"/>
      <w:numFmt w:val="ideographTraditional"/>
      <w:lvlText w:val="%5、"/>
      <w:lvlJc w:val="left"/>
      <w:pPr>
        <w:ind w:left="3405" w:hanging="480"/>
      </w:pPr>
    </w:lvl>
    <w:lvl w:ilvl="5" w:tplc="04090005" w:tentative="1">
      <w:start w:val="1"/>
      <w:numFmt w:val="lowerRoman"/>
      <w:lvlText w:val="%6."/>
      <w:lvlJc w:val="right"/>
      <w:pPr>
        <w:ind w:left="3885" w:hanging="480"/>
      </w:pPr>
    </w:lvl>
    <w:lvl w:ilvl="6" w:tplc="04090001" w:tentative="1">
      <w:start w:val="1"/>
      <w:numFmt w:val="decimal"/>
      <w:lvlText w:val="%7."/>
      <w:lvlJc w:val="left"/>
      <w:pPr>
        <w:ind w:left="4365" w:hanging="480"/>
      </w:pPr>
    </w:lvl>
    <w:lvl w:ilvl="7" w:tplc="04090003" w:tentative="1">
      <w:start w:val="1"/>
      <w:numFmt w:val="ideographTraditional"/>
      <w:lvlText w:val="%8、"/>
      <w:lvlJc w:val="left"/>
      <w:pPr>
        <w:ind w:left="4845" w:hanging="480"/>
      </w:pPr>
    </w:lvl>
    <w:lvl w:ilvl="8" w:tplc="04090005" w:tentative="1">
      <w:start w:val="1"/>
      <w:numFmt w:val="lowerRoman"/>
      <w:lvlText w:val="%9."/>
      <w:lvlJc w:val="right"/>
      <w:pPr>
        <w:ind w:left="5325" w:hanging="480"/>
      </w:pPr>
    </w:lvl>
  </w:abstractNum>
  <w:abstractNum w:abstractNumId="25" w15:restartNumberingAfterBreak="0">
    <w:nsid w:val="55061BE3"/>
    <w:multiLevelType w:val="hybridMultilevel"/>
    <w:tmpl w:val="239A111E"/>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6"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7"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15:restartNumberingAfterBreak="0">
    <w:nsid w:val="58962F07"/>
    <w:multiLevelType w:val="hybridMultilevel"/>
    <w:tmpl w:val="D08E9268"/>
    <w:lvl w:ilvl="0">
      <w:start w:val="3"/>
      <w:numFmt w:val="taiwaneseCountingThousand"/>
      <w:lvlText w:val="%1、"/>
      <w:lvlJc w:val="left"/>
      <w:pPr>
        <w:tabs>
          <w:tab w:val="num" w:pos="3600"/>
        </w:tabs>
        <w:ind w:left="3600" w:hanging="72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D5F3D96"/>
    <w:multiLevelType w:val="hybridMultilevel"/>
    <w:tmpl w:val="6B1EECEE"/>
    <w:lvl w:ilvl="0">
      <w:start w:val="1"/>
      <w:numFmt w:val="taiwaneseCountingThousand"/>
      <w:lvlText w:val="%1、"/>
      <w:lvlJc w:val="left"/>
      <w:pPr>
        <w:ind w:left="1346" w:hanging="720"/>
      </w:pPr>
      <w:rPr>
        <w:rFonts w:hint="default"/>
      </w:rPr>
    </w:lvl>
    <w:lvl w:ilvl="1" w:tentative="1">
      <w:start w:val="1"/>
      <w:numFmt w:val="ideographTraditional"/>
      <w:lvlText w:val="%2、"/>
      <w:lvlJc w:val="left"/>
      <w:pPr>
        <w:ind w:left="1586" w:hanging="480"/>
      </w:pPr>
    </w:lvl>
    <w:lvl w:ilvl="2" w:tentative="1">
      <w:start w:val="1"/>
      <w:numFmt w:val="lowerRoman"/>
      <w:lvlText w:val="%3."/>
      <w:lvlJc w:val="right"/>
      <w:pPr>
        <w:ind w:left="2066" w:hanging="480"/>
      </w:pPr>
    </w:lvl>
    <w:lvl w:ilvl="3" w:tentative="1">
      <w:start w:val="1"/>
      <w:numFmt w:val="decimal"/>
      <w:lvlText w:val="%4."/>
      <w:lvlJc w:val="left"/>
      <w:pPr>
        <w:ind w:left="2546" w:hanging="480"/>
      </w:pPr>
    </w:lvl>
    <w:lvl w:ilvl="4" w:tentative="1">
      <w:start w:val="1"/>
      <w:numFmt w:val="ideographTraditional"/>
      <w:lvlText w:val="%5、"/>
      <w:lvlJc w:val="left"/>
      <w:pPr>
        <w:ind w:left="3026" w:hanging="480"/>
      </w:pPr>
    </w:lvl>
    <w:lvl w:ilvl="5" w:tentative="1">
      <w:start w:val="1"/>
      <w:numFmt w:val="lowerRoman"/>
      <w:lvlText w:val="%6."/>
      <w:lvlJc w:val="right"/>
      <w:pPr>
        <w:ind w:left="3506" w:hanging="480"/>
      </w:pPr>
    </w:lvl>
    <w:lvl w:ilvl="6" w:tentative="1">
      <w:start w:val="1"/>
      <w:numFmt w:val="decimal"/>
      <w:lvlText w:val="%7."/>
      <w:lvlJc w:val="left"/>
      <w:pPr>
        <w:ind w:left="3986" w:hanging="480"/>
      </w:pPr>
    </w:lvl>
    <w:lvl w:ilvl="7" w:tentative="1">
      <w:start w:val="1"/>
      <w:numFmt w:val="ideographTraditional"/>
      <w:lvlText w:val="%8、"/>
      <w:lvlJc w:val="left"/>
      <w:pPr>
        <w:ind w:left="4466" w:hanging="480"/>
      </w:pPr>
    </w:lvl>
    <w:lvl w:ilvl="8" w:tentative="1">
      <w:start w:val="1"/>
      <w:numFmt w:val="lowerRoman"/>
      <w:lvlText w:val="%9."/>
      <w:lvlJc w:val="right"/>
      <w:pPr>
        <w:ind w:left="4946" w:hanging="480"/>
      </w:pPr>
    </w:lvl>
  </w:abstractNum>
  <w:abstractNum w:abstractNumId="30" w15:restartNumberingAfterBreak="0">
    <w:nsid w:val="607061C5"/>
    <w:multiLevelType w:val="hybridMultilevel"/>
    <w:tmpl w:val="FFA892A2"/>
    <w:lvl w:ilvl="0" w:tplc="D56ADA92">
      <w:start w:val="1"/>
      <w:numFmt w:val="taiwaneseCountingThousand"/>
      <w:lvlText w:val="%1、"/>
      <w:lvlJc w:val="left"/>
      <w:pPr>
        <w:tabs>
          <w:tab w:val="num" w:pos="1180"/>
        </w:tabs>
        <w:ind w:left="1180" w:hanging="720"/>
      </w:pPr>
      <w:rPr>
        <w:rFonts w:hint="eastAsia"/>
      </w:rPr>
    </w:lvl>
    <w:lvl w:ilvl="1" w:tplc="37E01E88">
      <w:start w:val="1"/>
      <w:numFmt w:val="taiwaneseCountingThousand"/>
      <w:lvlText w:val="（%2）"/>
      <w:lvlJc w:val="left"/>
      <w:pPr>
        <w:tabs>
          <w:tab w:val="num" w:pos="1660"/>
        </w:tabs>
        <w:ind w:left="1660" w:hanging="720"/>
      </w:pPr>
      <w:rPr>
        <w:rFonts w:hint="eastAsia"/>
      </w:r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31" w15:restartNumberingAfterBreak="0">
    <w:nsid w:val="60D461A5"/>
    <w:multiLevelType w:val="hybridMultilevel"/>
    <w:tmpl w:val="A64073B4"/>
    <w:lvl w:ilvl="0" w:tplc="13982E78">
      <w:start w:val="1"/>
      <w:numFmt w:val="taiwaneseCountingThousand"/>
      <w:lvlText w:val="（%1）"/>
      <w:lvlJc w:val="left"/>
      <w:pPr>
        <w:ind w:left="1520" w:hanging="81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810AB"/>
    <w:multiLevelType w:val="hybridMultilevel"/>
    <w:tmpl w:val="070CCFD0"/>
    <w:lvl w:ilvl="0" w:tplc="04090001">
      <w:start w:val="1"/>
      <w:numFmt w:val="taiwaneseCountingThousand"/>
      <w:lvlText w:val="(%1)"/>
      <w:lvlJc w:val="left"/>
      <w:pPr>
        <w:tabs>
          <w:tab w:val="num" w:pos="1591"/>
        </w:tabs>
        <w:ind w:left="1591" w:hanging="720"/>
      </w:pPr>
      <w:rPr>
        <w:rFonts w:hint="eastAsia"/>
        <w:color w:val="auto"/>
      </w:rPr>
    </w:lvl>
    <w:lvl w:ilvl="1" w:tplc="04090003">
      <w:start w:val="1"/>
      <w:numFmt w:val="taiwaneseCountingThousand"/>
      <w:lvlText w:val="（%2）"/>
      <w:lvlJc w:val="left"/>
      <w:pPr>
        <w:tabs>
          <w:tab w:val="num" w:pos="240"/>
        </w:tabs>
        <w:ind w:left="240" w:hanging="720"/>
      </w:pPr>
      <w:rPr>
        <w:rFonts w:hint="eastAsia"/>
      </w:rPr>
    </w:lvl>
    <w:lvl w:ilvl="2" w:tplc="04090005">
      <w:start w:val="1"/>
      <w:numFmt w:val="taiwaneseCountingThousand"/>
      <w:lvlText w:val="%3、"/>
      <w:lvlJc w:val="left"/>
      <w:pPr>
        <w:tabs>
          <w:tab w:val="num" w:pos="720"/>
        </w:tabs>
        <w:ind w:left="720" w:hanging="720"/>
      </w:pPr>
      <w:rPr>
        <w:rFonts w:hint="eastAsia"/>
      </w:rPr>
    </w:lvl>
    <w:lvl w:ilvl="3" w:tplc="04090001">
      <w:start w:val="1"/>
      <w:numFmt w:val="taiwaneseCountingThousand"/>
      <w:lvlText w:val="(%4)"/>
      <w:lvlJc w:val="left"/>
      <w:pPr>
        <w:tabs>
          <w:tab w:val="num" w:pos="1200"/>
        </w:tabs>
        <w:ind w:left="1200" w:hanging="720"/>
      </w:pPr>
      <w:rPr>
        <w:rFonts w:hint="eastAsia"/>
      </w:rPr>
    </w:lvl>
    <w:lvl w:ilvl="4" w:tplc="04090003">
      <w:start w:val="1"/>
      <w:numFmt w:val="taiwaneseCountingThousand"/>
      <w:lvlText w:val="（%5）"/>
      <w:lvlJc w:val="left"/>
      <w:pPr>
        <w:tabs>
          <w:tab w:val="num" w:pos="1785"/>
        </w:tabs>
        <w:ind w:left="1785" w:hanging="825"/>
      </w:pPr>
      <w:rPr>
        <w:rFonts w:hint="eastAsia"/>
      </w:rPr>
    </w:lvl>
    <w:lvl w:ilvl="5" w:tplc="04090005" w:tentative="1">
      <w:start w:val="1"/>
      <w:numFmt w:val="lowerRoman"/>
      <w:lvlText w:val="%6."/>
      <w:lvlJc w:val="right"/>
      <w:pPr>
        <w:tabs>
          <w:tab w:val="num" w:pos="1920"/>
        </w:tabs>
        <w:ind w:left="1920" w:hanging="480"/>
      </w:pPr>
    </w:lvl>
    <w:lvl w:ilvl="6" w:tplc="04090001" w:tentative="1">
      <w:start w:val="1"/>
      <w:numFmt w:val="decimal"/>
      <w:lvlText w:val="%7."/>
      <w:lvlJc w:val="left"/>
      <w:pPr>
        <w:tabs>
          <w:tab w:val="num" w:pos="2400"/>
        </w:tabs>
        <w:ind w:left="2400" w:hanging="480"/>
      </w:pPr>
    </w:lvl>
    <w:lvl w:ilvl="7" w:tplc="04090003" w:tentative="1">
      <w:start w:val="1"/>
      <w:numFmt w:val="ideographTraditional"/>
      <w:lvlText w:val="%8、"/>
      <w:lvlJc w:val="left"/>
      <w:pPr>
        <w:tabs>
          <w:tab w:val="num" w:pos="2880"/>
        </w:tabs>
        <w:ind w:left="2880" w:hanging="480"/>
      </w:pPr>
    </w:lvl>
    <w:lvl w:ilvl="8" w:tplc="04090005" w:tentative="1">
      <w:start w:val="1"/>
      <w:numFmt w:val="lowerRoman"/>
      <w:lvlText w:val="%9."/>
      <w:lvlJc w:val="right"/>
      <w:pPr>
        <w:tabs>
          <w:tab w:val="num" w:pos="3360"/>
        </w:tabs>
        <w:ind w:left="3360" w:hanging="480"/>
      </w:pPr>
    </w:lvl>
  </w:abstractNum>
  <w:abstractNum w:abstractNumId="33" w15:restartNumberingAfterBreak="0">
    <w:nsid w:val="69D97BFB"/>
    <w:multiLevelType w:val="hybridMultilevel"/>
    <w:tmpl w:val="41F4A506"/>
    <w:lvl w:ilvl="0" w:tplc="BAB2C9FA">
      <w:start w:val="1"/>
      <w:numFmt w:val="taiwaneseCountingThousand"/>
      <w:lvlText w:val="%1、"/>
      <w:lvlJc w:val="left"/>
      <w:pPr>
        <w:ind w:left="1440" w:hanging="720"/>
      </w:pPr>
      <w:rPr>
        <w:rFonts w:hint="default"/>
      </w:rPr>
    </w:lvl>
    <w:lvl w:ilvl="1" w:tplc="BB809774" w:tentative="1">
      <w:start w:val="1"/>
      <w:numFmt w:val="ideographTraditional"/>
      <w:lvlText w:val="%2、"/>
      <w:lvlJc w:val="left"/>
      <w:pPr>
        <w:tabs>
          <w:tab w:val="num" w:pos="960"/>
        </w:tabs>
        <w:ind w:left="960" w:hanging="480"/>
      </w:pPr>
    </w:lvl>
    <w:lvl w:ilvl="2" w:tplc="524CB246" w:tentative="1">
      <w:start w:val="1"/>
      <w:numFmt w:val="lowerRoman"/>
      <w:lvlText w:val="%3."/>
      <w:lvlJc w:val="right"/>
      <w:pPr>
        <w:tabs>
          <w:tab w:val="num" w:pos="1440"/>
        </w:tabs>
        <w:ind w:left="1440" w:hanging="480"/>
      </w:pPr>
    </w:lvl>
    <w:lvl w:ilvl="3" w:tplc="160E8D74" w:tentative="1">
      <w:start w:val="1"/>
      <w:numFmt w:val="decimal"/>
      <w:lvlText w:val="%4."/>
      <w:lvlJc w:val="left"/>
      <w:pPr>
        <w:tabs>
          <w:tab w:val="num" w:pos="1920"/>
        </w:tabs>
        <w:ind w:left="1920" w:hanging="480"/>
      </w:pPr>
    </w:lvl>
    <w:lvl w:ilvl="4" w:tplc="F9920FAE"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AAB5FFD"/>
    <w:multiLevelType w:val="multilevel"/>
    <w:tmpl w:val="F184D8CC"/>
    <w:lvl w:ilvl="0">
      <w:start w:val="1"/>
      <w:numFmt w:val="ideographLegalTraditional"/>
      <w:pStyle w:val="a1"/>
      <w:lvlText w:val="%1、"/>
      <w:lvlJc w:val="left"/>
      <w:pPr>
        <w:tabs>
          <w:tab w:val="num" w:pos="1080"/>
        </w:tabs>
        <w:ind w:left="0" w:firstLine="0"/>
      </w:pPr>
      <w:rPr>
        <w:rFonts w:hint="eastAsia"/>
      </w:rPr>
    </w:lvl>
    <w:lvl w:ilvl="1">
      <w:start w:val="1"/>
      <w:numFmt w:val="decimal"/>
      <w:isLgl/>
      <w:lvlText w:val="%2"/>
      <w:lvlJc w:val="left"/>
      <w:pPr>
        <w:tabs>
          <w:tab w:val="num" w:pos="680"/>
        </w:tabs>
        <w:ind w:left="680" w:hanging="680"/>
      </w:pPr>
      <w:rPr>
        <w:rFonts w:ascii="華康粗黑體" w:eastAsia="華康粗黑體" w:hint="eastAsia"/>
        <w:sz w:val="44"/>
      </w:rPr>
    </w:lvl>
    <w:lvl w:ilvl="2">
      <w:start w:val="1"/>
      <w:numFmt w:val="decimal"/>
      <w:isLgl/>
      <w:lvlText w:val="%2.%3"/>
      <w:lvlJc w:val="left"/>
      <w:pPr>
        <w:tabs>
          <w:tab w:val="num" w:pos="765"/>
        </w:tabs>
        <w:ind w:left="765" w:hanging="765"/>
      </w:pPr>
      <w:rPr>
        <w:rFonts w:ascii="Arial" w:hAnsi="Arial" w:hint="default"/>
        <w:sz w:val="32"/>
      </w:rPr>
    </w:lvl>
    <w:lvl w:ilvl="3">
      <w:start w:val="1"/>
      <w:numFmt w:val="decimal"/>
      <w:pStyle w:val="20"/>
      <w:lvlText w:val="%2.%3.%4"/>
      <w:lvlJc w:val="left"/>
      <w:pPr>
        <w:tabs>
          <w:tab w:val="num" w:pos="1021"/>
        </w:tabs>
        <w:ind w:left="1021" w:hanging="1021"/>
      </w:pPr>
      <w:rPr>
        <w:rFonts w:ascii="Arial" w:hAnsi="Arial" w:hint="default"/>
        <w:sz w:val="28"/>
      </w:rPr>
    </w:lvl>
    <w:lvl w:ilvl="4">
      <w:start w:val="1"/>
      <w:numFmt w:val="decimal"/>
      <w:isLgl/>
      <w:lvlText w:val="%1.%2.%3.%4.%5"/>
      <w:lvlJc w:val="left"/>
      <w:pPr>
        <w:tabs>
          <w:tab w:val="num" w:pos="1800"/>
        </w:tabs>
        <w:ind w:left="390" w:hanging="390"/>
      </w:pPr>
      <w:rPr>
        <w:rFonts w:hint="eastAsia"/>
      </w:rPr>
    </w:lvl>
    <w:lvl w:ilvl="5">
      <w:start w:val="1"/>
      <w:numFmt w:val="decimal"/>
      <w:isLgl/>
      <w:lvlText w:val="%1.%2.%3.%4.%5.%6"/>
      <w:lvlJc w:val="left"/>
      <w:pPr>
        <w:tabs>
          <w:tab w:val="num" w:pos="2160"/>
        </w:tabs>
        <w:ind w:left="390" w:hanging="390"/>
      </w:pPr>
      <w:rPr>
        <w:rFonts w:hint="eastAsia"/>
      </w:rPr>
    </w:lvl>
    <w:lvl w:ilvl="6">
      <w:start w:val="1"/>
      <w:numFmt w:val="decimal"/>
      <w:isLgl/>
      <w:lvlText w:val="%1.%2.%3.%4.%5.%6.%7"/>
      <w:lvlJc w:val="left"/>
      <w:pPr>
        <w:tabs>
          <w:tab w:val="num" w:pos="390"/>
        </w:tabs>
        <w:ind w:left="390" w:hanging="390"/>
      </w:pPr>
      <w:rPr>
        <w:rFonts w:hint="eastAsia"/>
      </w:rPr>
    </w:lvl>
    <w:lvl w:ilvl="7">
      <w:start w:val="1"/>
      <w:numFmt w:val="decimal"/>
      <w:isLgl/>
      <w:lvlText w:val="%1.%2.%3.%4.%5.%6.%7.%8"/>
      <w:lvlJc w:val="left"/>
      <w:pPr>
        <w:tabs>
          <w:tab w:val="num" w:pos="390"/>
        </w:tabs>
        <w:ind w:left="390" w:hanging="390"/>
      </w:pPr>
      <w:rPr>
        <w:rFonts w:hint="eastAsia"/>
      </w:rPr>
    </w:lvl>
    <w:lvl w:ilvl="8">
      <w:start w:val="1"/>
      <w:numFmt w:val="decimal"/>
      <w:isLgl/>
      <w:lvlText w:val="%1.%2.%3.%4.%5.%6.%7.%8.%9"/>
      <w:lvlJc w:val="left"/>
      <w:pPr>
        <w:tabs>
          <w:tab w:val="num" w:pos="390"/>
        </w:tabs>
        <w:ind w:left="390" w:hanging="390"/>
      </w:pPr>
      <w:rPr>
        <w:rFonts w:hint="eastAsia"/>
      </w:rPr>
    </w:lvl>
  </w:abstractNum>
  <w:abstractNum w:abstractNumId="35" w15:restartNumberingAfterBreak="0">
    <w:nsid w:val="6BD76139"/>
    <w:multiLevelType w:val="hybridMultilevel"/>
    <w:tmpl w:val="14DEF44C"/>
    <w:lvl w:ilvl="0" w:tplc="2D36B704">
      <w:start w:val="1"/>
      <w:numFmt w:val="taiwaneseCountingThousand"/>
      <w:lvlText w:val="%1、"/>
      <w:lvlJc w:val="left"/>
      <w:pPr>
        <w:ind w:left="1139" w:hanging="720"/>
      </w:pPr>
      <w:rPr>
        <w:rFonts w:hint="default"/>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6" w15:restartNumberingAfterBreak="0">
    <w:nsid w:val="6C1C3812"/>
    <w:multiLevelType w:val="hybridMultilevel"/>
    <w:tmpl w:val="D250E794"/>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7" w15:restartNumberingAfterBreak="0">
    <w:nsid w:val="7616770C"/>
    <w:multiLevelType w:val="hybridMultilevel"/>
    <w:tmpl w:val="B47C697C"/>
    <w:lvl w:ilvl="0" w:tplc="5502A2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A4E5F1D"/>
    <w:multiLevelType w:val="hybridMultilevel"/>
    <w:tmpl w:val="F516087C"/>
    <w:lvl w:ilvl="0" w:tplc="50B6E8DA">
      <w:start w:val="7"/>
      <w:numFmt w:val="taiwaneseCountingThousand"/>
      <w:lvlText w:val="第%1條"/>
      <w:lvlJc w:val="left"/>
      <w:pPr>
        <w:tabs>
          <w:tab w:val="num" w:pos="920"/>
        </w:tabs>
        <w:ind w:left="920" w:hanging="720"/>
      </w:pPr>
      <w:rPr>
        <w:rFonts w:hint="eastAsia"/>
      </w:rPr>
    </w:lvl>
    <w:lvl w:ilvl="1" w:tplc="04090019">
      <w:start w:val="1"/>
      <w:numFmt w:val="taiwaneseCountingThousand"/>
      <w:lvlText w:val="(%2)"/>
      <w:lvlJc w:val="left"/>
      <w:pPr>
        <w:tabs>
          <w:tab w:val="num" w:pos="1040"/>
        </w:tabs>
        <w:ind w:left="1040" w:hanging="360"/>
      </w:pPr>
      <w:rPr>
        <w:rFonts w:ascii="標楷體" w:eastAsia="標楷體" w:hAnsi="標楷體" w:hint="eastAsia"/>
        <w:color w:val="FF0000"/>
        <w:u w:val="single"/>
      </w:rPr>
    </w:lvl>
    <w:lvl w:ilvl="2" w:tplc="0409001B">
      <w:start w:val="1"/>
      <w:numFmt w:val="taiwaneseCountingThousand"/>
      <w:lvlText w:val="（%3）"/>
      <w:lvlJc w:val="left"/>
      <w:pPr>
        <w:tabs>
          <w:tab w:val="num" w:pos="1880"/>
        </w:tabs>
        <w:ind w:left="1880" w:hanging="720"/>
      </w:pPr>
      <w:rPr>
        <w:rFonts w:hint="eastAsia"/>
      </w:rPr>
    </w:lvl>
    <w:lvl w:ilvl="3" w:tplc="0409000F">
      <w:start w:val="1"/>
      <w:numFmt w:val="taiwaneseCountingThousand"/>
      <w:lvlText w:val="%4、"/>
      <w:lvlJc w:val="left"/>
      <w:pPr>
        <w:tabs>
          <w:tab w:val="num" w:pos="1800"/>
        </w:tabs>
        <w:ind w:left="1800" w:hanging="720"/>
      </w:pPr>
      <w:rPr>
        <w:rFonts w:hint="eastAsia"/>
      </w:rPr>
    </w:lvl>
    <w:lvl w:ilvl="4" w:tplc="04090019">
      <w:start w:val="1"/>
      <w:numFmt w:val="ideographTraditional"/>
      <w:lvlText w:val="%5、"/>
      <w:lvlJc w:val="left"/>
      <w:pPr>
        <w:tabs>
          <w:tab w:val="num" w:pos="2600"/>
        </w:tabs>
        <w:ind w:left="2600" w:hanging="480"/>
      </w:pPr>
    </w:lvl>
    <w:lvl w:ilvl="5" w:tplc="0409001B" w:tentative="1">
      <w:start w:val="1"/>
      <w:numFmt w:val="lowerRoman"/>
      <w:lvlText w:val="%6."/>
      <w:lvlJc w:val="righ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9" w:tentative="1">
      <w:start w:val="1"/>
      <w:numFmt w:val="ideographTraditional"/>
      <w:lvlText w:val="%8、"/>
      <w:lvlJc w:val="left"/>
      <w:pPr>
        <w:tabs>
          <w:tab w:val="num" w:pos="4040"/>
        </w:tabs>
        <w:ind w:left="4040" w:hanging="480"/>
      </w:pPr>
    </w:lvl>
    <w:lvl w:ilvl="8" w:tplc="0409001B" w:tentative="1">
      <w:start w:val="1"/>
      <w:numFmt w:val="lowerRoman"/>
      <w:lvlText w:val="%9."/>
      <w:lvlJc w:val="right"/>
      <w:pPr>
        <w:tabs>
          <w:tab w:val="num" w:pos="4520"/>
        </w:tabs>
        <w:ind w:left="4520" w:hanging="480"/>
      </w:pPr>
    </w:lvl>
  </w:abstractNum>
  <w:abstractNum w:abstractNumId="39" w15:restartNumberingAfterBreak="0">
    <w:nsid w:val="7CD55327"/>
    <w:multiLevelType w:val="hybridMultilevel"/>
    <w:tmpl w:val="AAF645DC"/>
    <w:lvl w:ilvl="0" w:tplc="6FC8C0FA">
      <w:start w:val="1"/>
      <w:numFmt w:val="decimal"/>
      <w:lvlText w:val="%1."/>
      <w:lvlJc w:val="left"/>
      <w:pPr>
        <w:tabs>
          <w:tab w:val="num" w:pos="1231"/>
        </w:tabs>
        <w:ind w:left="1231" w:hanging="360"/>
      </w:pPr>
      <w:rPr>
        <w:rFonts w:hint="eastAsia"/>
      </w:rPr>
    </w:lvl>
    <w:lvl w:ilvl="1" w:tplc="4FE80F9A">
      <w:start w:val="1"/>
      <w:numFmt w:val="taiwaneseCountingThousand"/>
      <w:lvlText w:val="%2、"/>
      <w:lvlJc w:val="left"/>
      <w:pPr>
        <w:tabs>
          <w:tab w:val="num" w:pos="2071"/>
        </w:tabs>
        <w:ind w:left="2071" w:hanging="720"/>
      </w:pPr>
      <w:rPr>
        <w:rFonts w:hint="eastAsia"/>
      </w:rPr>
    </w:lvl>
    <w:lvl w:ilvl="2" w:tplc="564C25AC">
      <w:start w:val="1"/>
      <w:numFmt w:val="taiwaneseCountingThousand"/>
      <w:lvlText w:val="(%3)"/>
      <w:lvlJc w:val="left"/>
      <w:pPr>
        <w:tabs>
          <w:tab w:val="num" w:pos="2551"/>
        </w:tabs>
        <w:ind w:left="2551" w:hanging="720"/>
      </w:pPr>
      <w:rPr>
        <w:rFonts w:hint="eastAsia"/>
        <w:color w:val="000000"/>
      </w:rPr>
    </w:lvl>
    <w:lvl w:ilvl="3" w:tplc="D4E03B82">
      <w:start w:val="1"/>
      <w:numFmt w:val="taiwaneseCountingThousand"/>
      <w:lvlText w:val="（%4）"/>
      <w:lvlJc w:val="left"/>
      <w:pPr>
        <w:tabs>
          <w:tab w:val="num" w:pos="3031"/>
        </w:tabs>
        <w:ind w:left="3031" w:hanging="720"/>
      </w:pPr>
      <w:rPr>
        <w:rFonts w:hint="eastAsia"/>
      </w:rPr>
    </w:lvl>
    <w:lvl w:ilvl="4" w:tplc="04090019" w:tentative="1">
      <w:start w:val="1"/>
      <w:numFmt w:val="ideographTraditional"/>
      <w:lvlText w:val="%5、"/>
      <w:lvlJc w:val="left"/>
      <w:pPr>
        <w:tabs>
          <w:tab w:val="num" w:pos="3271"/>
        </w:tabs>
        <w:ind w:left="3271" w:hanging="480"/>
      </w:pPr>
    </w:lvl>
    <w:lvl w:ilvl="5" w:tplc="0409001B" w:tentative="1">
      <w:start w:val="1"/>
      <w:numFmt w:val="lowerRoman"/>
      <w:lvlText w:val="%6."/>
      <w:lvlJc w:val="right"/>
      <w:pPr>
        <w:tabs>
          <w:tab w:val="num" w:pos="3751"/>
        </w:tabs>
        <w:ind w:left="3751" w:hanging="480"/>
      </w:p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40" w15:restartNumberingAfterBreak="0">
    <w:nsid w:val="7DDF2067"/>
    <w:multiLevelType w:val="hybridMultilevel"/>
    <w:tmpl w:val="A0C2C758"/>
    <w:lvl w:ilvl="0" w:tplc="7ECA771E">
      <w:start w:val="1"/>
      <w:numFmt w:val="taiwaneseCountingThousand"/>
      <w:lvlText w:val="(%1)"/>
      <w:lvlJc w:val="left"/>
      <w:pPr>
        <w:tabs>
          <w:tab w:val="num" w:pos="851"/>
        </w:tabs>
        <w:ind w:left="851" w:hanging="567"/>
      </w:pPr>
      <w:rPr>
        <w:rFonts w:hint="eastAsia"/>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41" w15:restartNumberingAfterBreak="0">
    <w:nsid w:val="7F5246C2"/>
    <w:multiLevelType w:val="hybridMultilevel"/>
    <w:tmpl w:val="61DE1AFA"/>
    <w:lvl w:ilvl="0" w:tplc="6EC86836">
      <w:start w:val="1"/>
      <w:numFmt w:val="decimal"/>
      <w:lvlText w:val="%1."/>
      <w:lvlJc w:val="left"/>
      <w:pPr>
        <w:tabs>
          <w:tab w:val="num" w:pos="360"/>
        </w:tabs>
        <w:ind w:left="360" w:hanging="360"/>
      </w:pPr>
      <w:rPr>
        <w:rFonts w:hint="eastAsia"/>
      </w:rPr>
    </w:lvl>
    <w:lvl w:ilvl="1" w:tplc="23B8B920" w:tentative="1">
      <w:start w:val="1"/>
      <w:numFmt w:val="ideographTraditional"/>
      <w:lvlText w:val="%2、"/>
      <w:lvlJc w:val="left"/>
      <w:pPr>
        <w:tabs>
          <w:tab w:val="num" w:pos="960"/>
        </w:tabs>
        <w:ind w:left="960" w:hanging="480"/>
      </w:pPr>
    </w:lvl>
    <w:lvl w:ilvl="2" w:tplc="B42C8A78" w:tentative="1">
      <w:start w:val="1"/>
      <w:numFmt w:val="lowerRoman"/>
      <w:lvlText w:val="%3."/>
      <w:lvlJc w:val="right"/>
      <w:pPr>
        <w:tabs>
          <w:tab w:val="num" w:pos="1440"/>
        </w:tabs>
        <w:ind w:left="1440" w:hanging="480"/>
      </w:pPr>
    </w:lvl>
    <w:lvl w:ilvl="3" w:tplc="7B503F38"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6"/>
  </w:num>
  <w:num w:numId="3">
    <w:abstractNumId w:val="39"/>
  </w:num>
  <w:num w:numId="4">
    <w:abstractNumId w:val="4"/>
  </w:num>
  <w:num w:numId="5">
    <w:abstractNumId w:val="30"/>
  </w:num>
  <w:num w:numId="6">
    <w:abstractNumId w:val="11"/>
  </w:num>
  <w:num w:numId="7">
    <w:abstractNumId w:val="0"/>
  </w:num>
  <w:num w:numId="8">
    <w:abstractNumId w:val="12"/>
  </w:num>
  <w:num w:numId="9">
    <w:abstractNumId w:val="28"/>
  </w:num>
  <w:num w:numId="10">
    <w:abstractNumId w:val="32"/>
  </w:num>
  <w:num w:numId="11">
    <w:abstractNumId w:val="38"/>
  </w:num>
  <w:num w:numId="12">
    <w:abstractNumId w:val="8"/>
  </w:num>
  <w:num w:numId="13">
    <w:abstractNumId w:val="6"/>
  </w:num>
  <w:num w:numId="14">
    <w:abstractNumId w:val="18"/>
  </w:num>
  <w:num w:numId="15">
    <w:abstractNumId w:val="10"/>
  </w:num>
  <w:num w:numId="16">
    <w:abstractNumId w:val="17"/>
  </w:num>
  <w:num w:numId="17">
    <w:abstractNumId w:val="29"/>
  </w:num>
  <w:num w:numId="18">
    <w:abstractNumId w:val="22"/>
  </w:num>
  <w:num w:numId="19">
    <w:abstractNumId w:val="24"/>
  </w:num>
  <w:num w:numId="20">
    <w:abstractNumId w:val="7"/>
  </w:num>
  <w:num w:numId="21">
    <w:abstractNumId w:val="35"/>
  </w:num>
  <w:num w:numId="22">
    <w:abstractNumId w:val="27"/>
  </w:num>
  <w:num w:numId="23">
    <w:abstractNumId w:val="13"/>
  </w:num>
  <w:num w:numId="24">
    <w:abstractNumId w:val="34"/>
  </w:num>
  <w:num w:numId="25">
    <w:abstractNumId w:val="3"/>
  </w:num>
  <w:num w:numId="26">
    <w:abstractNumId w:val="37"/>
  </w:num>
  <w:num w:numId="27">
    <w:abstractNumId w:val="9"/>
  </w:num>
  <w:num w:numId="28">
    <w:abstractNumId w:val="16"/>
  </w:num>
  <w:num w:numId="29">
    <w:abstractNumId w:val="36"/>
  </w:num>
  <w:num w:numId="30">
    <w:abstractNumId w:val="21"/>
  </w:num>
  <w:num w:numId="31">
    <w:abstractNumId w:val="19"/>
  </w:num>
  <w:num w:numId="32">
    <w:abstractNumId w:val="41"/>
  </w:num>
  <w:num w:numId="33">
    <w:abstractNumId w:val="33"/>
  </w:num>
  <w:num w:numId="34">
    <w:abstractNumId w:val="2"/>
  </w:num>
  <w:num w:numId="35">
    <w:abstractNumId w:val="15"/>
  </w:num>
  <w:num w:numId="36">
    <w:abstractNumId w:val="23"/>
  </w:num>
  <w:num w:numId="37">
    <w:abstractNumId w:val="14"/>
  </w:num>
  <w:num w:numId="38">
    <w:abstractNumId w:val="25"/>
  </w:num>
  <w:num w:numId="39">
    <w:abstractNumId w:val="40"/>
  </w:num>
  <w:num w:numId="40">
    <w:abstractNumId w:val="1"/>
  </w:num>
  <w:num w:numId="41">
    <w:abstractNumId w:val="3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AE"/>
    <w:rsid w:val="00000EB4"/>
    <w:rsid w:val="00002A5F"/>
    <w:rsid w:val="00006722"/>
    <w:rsid w:val="00020D24"/>
    <w:rsid w:val="00021A6E"/>
    <w:rsid w:val="00023894"/>
    <w:rsid w:val="00027F22"/>
    <w:rsid w:val="000320AF"/>
    <w:rsid w:val="00040375"/>
    <w:rsid w:val="00040A46"/>
    <w:rsid w:val="000418B6"/>
    <w:rsid w:val="00046C77"/>
    <w:rsid w:val="00051EAF"/>
    <w:rsid w:val="00054F2A"/>
    <w:rsid w:val="00055406"/>
    <w:rsid w:val="000659E8"/>
    <w:rsid w:val="00070C0D"/>
    <w:rsid w:val="00073188"/>
    <w:rsid w:val="00081700"/>
    <w:rsid w:val="000851E7"/>
    <w:rsid w:val="00085CFD"/>
    <w:rsid w:val="0008755D"/>
    <w:rsid w:val="000907A6"/>
    <w:rsid w:val="00094921"/>
    <w:rsid w:val="00095B6B"/>
    <w:rsid w:val="0009648B"/>
    <w:rsid w:val="000A14BB"/>
    <w:rsid w:val="000B168E"/>
    <w:rsid w:val="000B42A3"/>
    <w:rsid w:val="000B42F4"/>
    <w:rsid w:val="000B4CDB"/>
    <w:rsid w:val="000B7BC2"/>
    <w:rsid w:val="000D09B6"/>
    <w:rsid w:val="000D0E30"/>
    <w:rsid w:val="000D42BB"/>
    <w:rsid w:val="000D6649"/>
    <w:rsid w:val="000D715E"/>
    <w:rsid w:val="000E4E2E"/>
    <w:rsid w:val="000E7F11"/>
    <w:rsid w:val="000F1B68"/>
    <w:rsid w:val="000F28FC"/>
    <w:rsid w:val="000F661B"/>
    <w:rsid w:val="00100363"/>
    <w:rsid w:val="001008B4"/>
    <w:rsid w:val="00104509"/>
    <w:rsid w:val="001074DF"/>
    <w:rsid w:val="001114E0"/>
    <w:rsid w:val="00114954"/>
    <w:rsid w:val="001154B4"/>
    <w:rsid w:val="0012020D"/>
    <w:rsid w:val="001205F2"/>
    <w:rsid w:val="0012529A"/>
    <w:rsid w:val="00135048"/>
    <w:rsid w:val="00135616"/>
    <w:rsid w:val="001400D9"/>
    <w:rsid w:val="001422EF"/>
    <w:rsid w:val="00142F5C"/>
    <w:rsid w:val="00144C1E"/>
    <w:rsid w:val="00146161"/>
    <w:rsid w:val="00146D48"/>
    <w:rsid w:val="001507B1"/>
    <w:rsid w:val="0015594B"/>
    <w:rsid w:val="001571FC"/>
    <w:rsid w:val="00162CD0"/>
    <w:rsid w:val="00162F59"/>
    <w:rsid w:val="0017433D"/>
    <w:rsid w:val="00175ACD"/>
    <w:rsid w:val="00175D3A"/>
    <w:rsid w:val="00177EC3"/>
    <w:rsid w:val="0018302F"/>
    <w:rsid w:val="00184183"/>
    <w:rsid w:val="00196334"/>
    <w:rsid w:val="001B09AE"/>
    <w:rsid w:val="001B0B98"/>
    <w:rsid w:val="001B5047"/>
    <w:rsid w:val="001B649E"/>
    <w:rsid w:val="001B7F56"/>
    <w:rsid w:val="001C0C3A"/>
    <w:rsid w:val="001C2FE2"/>
    <w:rsid w:val="001C4F1E"/>
    <w:rsid w:val="001C63FE"/>
    <w:rsid w:val="001C7871"/>
    <w:rsid w:val="001D1A64"/>
    <w:rsid w:val="001D426A"/>
    <w:rsid w:val="001D5760"/>
    <w:rsid w:val="001D62CF"/>
    <w:rsid w:val="001E4E5D"/>
    <w:rsid w:val="001E7709"/>
    <w:rsid w:val="00201C34"/>
    <w:rsid w:val="00202981"/>
    <w:rsid w:val="002076A1"/>
    <w:rsid w:val="00212186"/>
    <w:rsid w:val="00212D40"/>
    <w:rsid w:val="002154D0"/>
    <w:rsid w:val="00230692"/>
    <w:rsid w:val="00233C32"/>
    <w:rsid w:val="00235ADF"/>
    <w:rsid w:val="00236CC3"/>
    <w:rsid w:val="00237547"/>
    <w:rsid w:val="0024121C"/>
    <w:rsid w:val="002414E8"/>
    <w:rsid w:val="002446FD"/>
    <w:rsid w:val="00245A88"/>
    <w:rsid w:val="002534D4"/>
    <w:rsid w:val="00256615"/>
    <w:rsid w:val="0026264C"/>
    <w:rsid w:val="00263045"/>
    <w:rsid w:val="00263212"/>
    <w:rsid w:val="00270B58"/>
    <w:rsid w:val="00274F47"/>
    <w:rsid w:val="0028006B"/>
    <w:rsid w:val="00295FA0"/>
    <w:rsid w:val="002A1584"/>
    <w:rsid w:val="002B2669"/>
    <w:rsid w:val="002C10ED"/>
    <w:rsid w:val="002C3456"/>
    <w:rsid w:val="002C39AD"/>
    <w:rsid w:val="002C6310"/>
    <w:rsid w:val="002D4CDA"/>
    <w:rsid w:val="002E3544"/>
    <w:rsid w:val="002E6B54"/>
    <w:rsid w:val="002E7666"/>
    <w:rsid w:val="002F25CC"/>
    <w:rsid w:val="002F5A37"/>
    <w:rsid w:val="002F6740"/>
    <w:rsid w:val="00303FD4"/>
    <w:rsid w:val="003109DF"/>
    <w:rsid w:val="003110F5"/>
    <w:rsid w:val="00311B59"/>
    <w:rsid w:val="003127A7"/>
    <w:rsid w:val="003142FE"/>
    <w:rsid w:val="00314336"/>
    <w:rsid w:val="00314D94"/>
    <w:rsid w:val="0031602A"/>
    <w:rsid w:val="003208D6"/>
    <w:rsid w:val="00321498"/>
    <w:rsid w:val="003216B4"/>
    <w:rsid w:val="0032615A"/>
    <w:rsid w:val="00326E80"/>
    <w:rsid w:val="003309A6"/>
    <w:rsid w:val="003330D7"/>
    <w:rsid w:val="00335098"/>
    <w:rsid w:val="00336064"/>
    <w:rsid w:val="00340F91"/>
    <w:rsid w:val="0034440C"/>
    <w:rsid w:val="00350C55"/>
    <w:rsid w:val="00355538"/>
    <w:rsid w:val="00357000"/>
    <w:rsid w:val="00360A00"/>
    <w:rsid w:val="00374A1B"/>
    <w:rsid w:val="00383346"/>
    <w:rsid w:val="00387C38"/>
    <w:rsid w:val="00397976"/>
    <w:rsid w:val="003A12C7"/>
    <w:rsid w:val="003A1A55"/>
    <w:rsid w:val="003A1DCC"/>
    <w:rsid w:val="003B4155"/>
    <w:rsid w:val="003B6CAD"/>
    <w:rsid w:val="003C0A85"/>
    <w:rsid w:val="003C0E3E"/>
    <w:rsid w:val="003C2BEC"/>
    <w:rsid w:val="003C2BFC"/>
    <w:rsid w:val="003C7042"/>
    <w:rsid w:val="003D3113"/>
    <w:rsid w:val="003D43E3"/>
    <w:rsid w:val="003E41D6"/>
    <w:rsid w:val="003E4A4F"/>
    <w:rsid w:val="003E598F"/>
    <w:rsid w:val="003E701D"/>
    <w:rsid w:val="003F1EAE"/>
    <w:rsid w:val="003F4120"/>
    <w:rsid w:val="003F5252"/>
    <w:rsid w:val="003F5827"/>
    <w:rsid w:val="0040289A"/>
    <w:rsid w:val="00403468"/>
    <w:rsid w:val="00404592"/>
    <w:rsid w:val="00405A1A"/>
    <w:rsid w:val="00406E51"/>
    <w:rsid w:val="00410320"/>
    <w:rsid w:val="00410892"/>
    <w:rsid w:val="004143BE"/>
    <w:rsid w:val="0041710F"/>
    <w:rsid w:val="004201B7"/>
    <w:rsid w:val="004328B4"/>
    <w:rsid w:val="004330C3"/>
    <w:rsid w:val="00436BCF"/>
    <w:rsid w:val="00440E64"/>
    <w:rsid w:val="004434EF"/>
    <w:rsid w:val="00456049"/>
    <w:rsid w:val="0045653E"/>
    <w:rsid w:val="00456A93"/>
    <w:rsid w:val="00460E7E"/>
    <w:rsid w:val="00461082"/>
    <w:rsid w:val="00462A99"/>
    <w:rsid w:val="00466EED"/>
    <w:rsid w:val="0047259F"/>
    <w:rsid w:val="00473905"/>
    <w:rsid w:val="004744B4"/>
    <w:rsid w:val="004765DD"/>
    <w:rsid w:val="004833B3"/>
    <w:rsid w:val="0048429A"/>
    <w:rsid w:val="00492C1A"/>
    <w:rsid w:val="00495DD5"/>
    <w:rsid w:val="004A18FD"/>
    <w:rsid w:val="004A2BB3"/>
    <w:rsid w:val="004A301D"/>
    <w:rsid w:val="004B578D"/>
    <w:rsid w:val="004C453F"/>
    <w:rsid w:val="004C45A8"/>
    <w:rsid w:val="004C7FD3"/>
    <w:rsid w:val="004D0508"/>
    <w:rsid w:val="004D41F5"/>
    <w:rsid w:val="004D7188"/>
    <w:rsid w:val="004E3F26"/>
    <w:rsid w:val="004F75EC"/>
    <w:rsid w:val="00501F17"/>
    <w:rsid w:val="00503805"/>
    <w:rsid w:val="00506A32"/>
    <w:rsid w:val="00506EC8"/>
    <w:rsid w:val="0050702C"/>
    <w:rsid w:val="00530360"/>
    <w:rsid w:val="00543E02"/>
    <w:rsid w:val="00554513"/>
    <w:rsid w:val="00561298"/>
    <w:rsid w:val="00564193"/>
    <w:rsid w:val="00564E28"/>
    <w:rsid w:val="0057105A"/>
    <w:rsid w:val="005737E5"/>
    <w:rsid w:val="005748DF"/>
    <w:rsid w:val="005775F1"/>
    <w:rsid w:val="00580D26"/>
    <w:rsid w:val="0058464E"/>
    <w:rsid w:val="00586296"/>
    <w:rsid w:val="00587D85"/>
    <w:rsid w:val="00590C51"/>
    <w:rsid w:val="00593C27"/>
    <w:rsid w:val="005954C9"/>
    <w:rsid w:val="005A2772"/>
    <w:rsid w:val="005A2B61"/>
    <w:rsid w:val="005B3090"/>
    <w:rsid w:val="005C0056"/>
    <w:rsid w:val="005C007A"/>
    <w:rsid w:val="005C3472"/>
    <w:rsid w:val="005C3E2C"/>
    <w:rsid w:val="005C4133"/>
    <w:rsid w:val="005C546A"/>
    <w:rsid w:val="005C76B2"/>
    <w:rsid w:val="005D0F1B"/>
    <w:rsid w:val="005D6967"/>
    <w:rsid w:val="005E0665"/>
    <w:rsid w:val="005E1FB4"/>
    <w:rsid w:val="005E3BA9"/>
    <w:rsid w:val="005E54FD"/>
    <w:rsid w:val="005E64A2"/>
    <w:rsid w:val="005F23B5"/>
    <w:rsid w:val="005F6B3E"/>
    <w:rsid w:val="006004B0"/>
    <w:rsid w:val="00601AC6"/>
    <w:rsid w:val="006054E6"/>
    <w:rsid w:val="006225CE"/>
    <w:rsid w:val="006269DD"/>
    <w:rsid w:val="00631EB2"/>
    <w:rsid w:val="00634C53"/>
    <w:rsid w:val="006414ED"/>
    <w:rsid w:val="00650F85"/>
    <w:rsid w:val="00655825"/>
    <w:rsid w:val="0066602E"/>
    <w:rsid w:val="006677DC"/>
    <w:rsid w:val="00667AFC"/>
    <w:rsid w:val="00670FD7"/>
    <w:rsid w:val="006734FC"/>
    <w:rsid w:val="00675402"/>
    <w:rsid w:val="006761AF"/>
    <w:rsid w:val="00683C63"/>
    <w:rsid w:val="006869D7"/>
    <w:rsid w:val="006908F2"/>
    <w:rsid w:val="006917F3"/>
    <w:rsid w:val="0069433A"/>
    <w:rsid w:val="00696DDC"/>
    <w:rsid w:val="006A0186"/>
    <w:rsid w:val="006A2B4E"/>
    <w:rsid w:val="006A2FF5"/>
    <w:rsid w:val="006A64B0"/>
    <w:rsid w:val="006C0C9B"/>
    <w:rsid w:val="006C1F45"/>
    <w:rsid w:val="006C2321"/>
    <w:rsid w:val="006C35E3"/>
    <w:rsid w:val="006D1B3A"/>
    <w:rsid w:val="006D5A99"/>
    <w:rsid w:val="006D772F"/>
    <w:rsid w:val="006E1E8B"/>
    <w:rsid w:val="006E388C"/>
    <w:rsid w:val="006E43BA"/>
    <w:rsid w:val="006E647C"/>
    <w:rsid w:val="006F1E28"/>
    <w:rsid w:val="006F2075"/>
    <w:rsid w:val="006F6AA1"/>
    <w:rsid w:val="007011FD"/>
    <w:rsid w:val="0070183A"/>
    <w:rsid w:val="00701C6A"/>
    <w:rsid w:val="00702E22"/>
    <w:rsid w:val="00706564"/>
    <w:rsid w:val="00706AFF"/>
    <w:rsid w:val="00706D8A"/>
    <w:rsid w:val="00710477"/>
    <w:rsid w:val="00712DD1"/>
    <w:rsid w:val="00715E92"/>
    <w:rsid w:val="00722F11"/>
    <w:rsid w:val="00723DC0"/>
    <w:rsid w:val="00731ECA"/>
    <w:rsid w:val="00740225"/>
    <w:rsid w:val="007444DE"/>
    <w:rsid w:val="0074779B"/>
    <w:rsid w:val="00750701"/>
    <w:rsid w:val="00750EE6"/>
    <w:rsid w:val="00751B02"/>
    <w:rsid w:val="00766137"/>
    <w:rsid w:val="0077115F"/>
    <w:rsid w:val="00771B54"/>
    <w:rsid w:val="00781C8D"/>
    <w:rsid w:val="00782E98"/>
    <w:rsid w:val="00783C9C"/>
    <w:rsid w:val="00785544"/>
    <w:rsid w:val="0079275E"/>
    <w:rsid w:val="00792A4C"/>
    <w:rsid w:val="007947D5"/>
    <w:rsid w:val="00795055"/>
    <w:rsid w:val="00796477"/>
    <w:rsid w:val="007A0B16"/>
    <w:rsid w:val="007A1F7C"/>
    <w:rsid w:val="007A2DF1"/>
    <w:rsid w:val="007A4A26"/>
    <w:rsid w:val="007B7129"/>
    <w:rsid w:val="007C006B"/>
    <w:rsid w:val="007C1CC0"/>
    <w:rsid w:val="007D25FE"/>
    <w:rsid w:val="007D3037"/>
    <w:rsid w:val="007E04B6"/>
    <w:rsid w:val="007E2C03"/>
    <w:rsid w:val="007E2EE3"/>
    <w:rsid w:val="007E5A2B"/>
    <w:rsid w:val="007E729E"/>
    <w:rsid w:val="007F4BDD"/>
    <w:rsid w:val="0080094A"/>
    <w:rsid w:val="00803C68"/>
    <w:rsid w:val="0081225F"/>
    <w:rsid w:val="00817512"/>
    <w:rsid w:val="0082590B"/>
    <w:rsid w:val="00825E02"/>
    <w:rsid w:val="008269CE"/>
    <w:rsid w:val="00826A2F"/>
    <w:rsid w:val="00827469"/>
    <w:rsid w:val="00830BAC"/>
    <w:rsid w:val="00830C63"/>
    <w:rsid w:val="008351E5"/>
    <w:rsid w:val="00837610"/>
    <w:rsid w:val="00851EFE"/>
    <w:rsid w:val="00856435"/>
    <w:rsid w:val="00860B1A"/>
    <w:rsid w:val="008803AA"/>
    <w:rsid w:val="00883213"/>
    <w:rsid w:val="008833FA"/>
    <w:rsid w:val="00891C17"/>
    <w:rsid w:val="008A1B7B"/>
    <w:rsid w:val="008A6F7D"/>
    <w:rsid w:val="008B1CFE"/>
    <w:rsid w:val="008C1DBF"/>
    <w:rsid w:val="008D6C23"/>
    <w:rsid w:val="008E1C5C"/>
    <w:rsid w:val="008E2746"/>
    <w:rsid w:val="008E5474"/>
    <w:rsid w:val="008E681B"/>
    <w:rsid w:val="008E7D59"/>
    <w:rsid w:val="008F4357"/>
    <w:rsid w:val="008F5004"/>
    <w:rsid w:val="00901924"/>
    <w:rsid w:val="00911A36"/>
    <w:rsid w:val="00911C6B"/>
    <w:rsid w:val="00913A4E"/>
    <w:rsid w:val="00915CFB"/>
    <w:rsid w:val="00921581"/>
    <w:rsid w:val="00921CE4"/>
    <w:rsid w:val="00926BE3"/>
    <w:rsid w:val="00930131"/>
    <w:rsid w:val="009315C0"/>
    <w:rsid w:val="00932B50"/>
    <w:rsid w:val="009421C6"/>
    <w:rsid w:val="00942562"/>
    <w:rsid w:val="009446D3"/>
    <w:rsid w:val="00951331"/>
    <w:rsid w:val="009513F0"/>
    <w:rsid w:val="0095207D"/>
    <w:rsid w:val="00953419"/>
    <w:rsid w:val="009541EB"/>
    <w:rsid w:val="00964199"/>
    <w:rsid w:val="0096573F"/>
    <w:rsid w:val="009660BB"/>
    <w:rsid w:val="00967273"/>
    <w:rsid w:val="0097202E"/>
    <w:rsid w:val="009A39E7"/>
    <w:rsid w:val="009A439E"/>
    <w:rsid w:val="009A7DF9"/>
    <w:rsid w:val="009B240E"/>
    <w:rsid w:val="009B2921"/>
    <w:rsid w:val="009B43A9"/>
    <w:rsid w:val="009D6968"/>
    <w:rsid w:val="009D743A"/>
    <w:rsid w:val="009F3178"/>
    <w:rsid w:val="009F4BA1"/>
    <w:rsid w:val="009F558E"/>
    <w:rsid w:val="009F63FC"/>
    <w:rsid w:val="00A02777"/>
    <w:rsid w:val="00A02E0C"/>
    <w:rsid w:val="00A10605"/>
    <w:rsid w:val="00A2178B"/>
    <w:rsid w:val="00A31108"/>
    <w:rsid w:val="00A31A1B"/>
    <w:rsid w:val="00A3225C"/>
    <w:rsid w:val="00A3274C"/>
    <w:rsid w:val="00A330DF"/>
    <w:rsid w:val="00A45215"/>
    <w:rsid w:val="00A46A7A"/>
    <w:rsid w:val="00A47040"/>
    <w:rsid w:val="00A47453"/>
    <w:rsid w:val="00A47483"/>
    <w:rsid w:val="00A610BA"/>
    <w:rsid w:val="00A631EC"/>
    <w:rsid w:val="00A6449B"/>
    <w:rsid w:val="00A678DB"/>
    <w:rsid w:val="00A678F2"/>
    <w:rsid w:val="00A721E5"/>
    <w:rsid w:val="00A723AF"/>
    <w:rsid w:val="00A77C1E"/>
    <w:rsid w:val="00A8249B"/>
    <w:rsid w:val="00A85626"/>
    <w:rsid w:val="00A90A29"/>
    <w:rsid w:val="00A91850"/>
    <w:rsid w:val="00AA0A4D"/>
    <w:rsid w:val="00AA6023"/>
    <w:rsid w:val="00AB2159"/>
    <w:rsid w:val="00AB387D"/>
    <w:rsid w:val="00AB56B3"/>
    <w:rsid w:val="00AC170F"/>
    <w:rsid w:val="00AC32AF"/>
    <w:rsid w:val="00AD05ED"/>
    <w:rsid w:val="00AD5517"/>
    <w:rsid w:val="00AD6AE1"/>
    <w:rsid w:val="00AE1FDD"/>
    <w:rsid w:val="00AE5398"/>
    <w:rsid w:val="00AE5A21"/>
    <w:rsid w:val="00AF4762"/>
    <w:rsid w:val="00AF6927"/>
    <w:rsid w:val="00AF7BA0"/>
    <w:rsid w:val="00AF7BC5"/>
    <w:rsid w:val="00B007FC"/>
    <w:rsid w:val="00B12B4C"/>
    <w:rsid w:val="00B13915"/>
    <w:rsid w:val="00B159C7"/>
    <w:rsid w:val="00B20AC5"/>
    <w:rsid w:val="00B26150"/>
    <w:rsid w:val="00B31060"/>
    <w:rsid w:val="00B35BCC"/>
    <w:rsid w:val="00B42941"/>
    <w:rsid w:val="00B47B8F"/>
    <w:rsid w:val="00B520DE"/>
    <w:rsid w:val="00B53CC0"/>
    <w:rsid w:val="00B53E9D"/>
    <w:rsid w:val="00B546B6"/>
    <w:rsid w:val="00B551A4"/>
    <w:rsid w:val="00B5546C"/>
    <w:rsid w:val="00B60CFF"/>
    <w:rsid w:val="00B60EC5"/>
    <w:rsid w:val="00B750B7"/>
    <w:rsid w:val="00B75380"/>
    <w:rsid w:val="00B7575B"/>
    <w:rsid w:val="00B76A31"/>
    <w:rsid w:val="00B76F29"/>
    <w:rsid w:val="00B77298"/>
    <w:rsid w:val="00B82EE8"/>
    <w:rsid w:val="00B85486"/>
    <w:rsid w:val="00B914E2"/>
    <w:rsid w:val="00B93426"/>
    <w:rsid w:val="00BA07E6"/>
    <w:rsid w:val="00BB082A"/>
    <w:rsid w:val="00BB428B"/>
    <w:rsid w:val="00BC1FD8"/>
    <w:rsid w:val="00BD3356"/>
    <w:rsid w:val="00BD454B"/>
    <w:rsid w:val="00BE2BBC"/>
    <w:rsid w:val="00BE77E6"/>
    <w:rsid w:val="00BF1A9F"/>
    <w:rsid w:val="00BF3BD0"/>
    <w:rsid w:val="00BF52C5"/>
    <w:rsid w:val="00BF59A2"/>
    <w:rsid w:val="00BF6C8A"/>
    <w:rsid w:val="00C01F16"/>
    <w:rsid w:val="00C042CC"/>
    <w:rsid w:val="00C108B1"/>
    <w:rsid w:val="00C14353"/>
    <w:rsid w:val="00C158DF"/>
    <w:rsid w:val="00C162BB"/>
    <w:rsid w:val="00C21747"/>
    <w:rsid w:val="00C21E2D"/>
    <w:rsid w:val="00C2665B"/>
    <w:rsid w:val="00C33F73"/>
    <w:rsid w:val="00C42ED0"/>
    <w:rsid w:val="00C47943"/>
    <w:rsid w:val="00C521A6"/>
    <w:rsid w:val="00C52DB8"/>
    <w:rsid w:val="00C52E4E"/>
    <w:rsid w:val="00C54AEE"/>
    <w:rsid w:val="00C62226"/>
    <w:rsid w:val="00C66424"/>
    <w:rsid w:val="00C7027E"/>
    <w:rsid w:val="00C7315F"/>
    <w:rsid w:val="00C76DEB"/>
    <w:rsid w:val="00C77B8D"/>
    <w:rsid w:val="00C8061D"/>
    <w:rsid w:val="00C8510A"/>
    <w:rsid w:val="00C8752A"/>
    <w:rsid w:val="00C911E7"/>
    <w:rsid w:val="00C92FB8"/>
    <w:rsid w:val="00C9740C"/>
    <w:rsid w:val="00CA4A13"/>
    <w:rsid w:val="00CB452F"/>
    <w:rsid w:val="00CB5FA2"/>
    <w:rsid w:val="00CB64C0"/>
    <w:rsid w:val="00CC4305"/>
    <w:rsid w:val="00CC543A"/>
    <w:rsid w:val="00CD17D3"/>
    <w:rsid w:val="00CD1A57"/>
    <w:rsid w:val="00CD33DC"/>
    <w:rsid w:val="00CD3754"/>
    <w:rsid w:val="00CD6563"/>
    <w:rsid w:val="00CE08FE"/>
    <w:rsid w:val="00CE1C94"/>
    <w:rsid w:val="00CE5041"/>
    <w:rsid w:val="00CE6E1E"/>
    <w:rsid w:val="00CF312B"/>
    <w:rsid w:val="00CF598E"/>
    <w:rsid w:val="00D001C5"/>
    <w:rsid w:val="00D02744"/>
    <w:rsid w:val="00D10ED1"/>
    <w:rsid w:val="00D24A0C"/>
    <w:rsid w:val="00D302BB"/>
    <w:rsid w:val="00D31ADD"/>
    <w:rsid w:val="00D31CBE"/>
    <w:rsid w:val="00D33F16"/>
    <w:rsid w:val="00D366F0"/>
    <w:rsid w:val="00D44F45"/>
    <w:rsid w:val="00D50C43"/>
    <w:rsid w:val="00D5469A"/>
    <w:rsid w:val="00D57BA6"/>
    <w:rsid w:val="00D71DBC"/>
    <w:rsid w:val="00D777CF"/>
    <w:rsid w:val="00D8172A"/>
    <w:rsid w:val="00D818ED"/>
    <w:rsid w:val="00D8628E"/>
    <w:rsid w:val="00D87095"/>
    <w:rsid w:val="00D92F8A"/>
    <w:rsid w:val="00DA4358"/>
    <w:rsid w:val="00DB17B8"/>
    <w:rsid w:val="00DB7AAE"/>
    <w:rsid w:val="00DC4004"/>
    <w:rsid w:val="00DC4F99"/>
    <w:rsid w:val="00DC6252"/>
    <w:rsid w:val="00DD2231"/>
    <w:rsid w:val="00DD50FA"/>
    <w:rsid w:val="00DD5355"/>
    <w:rsid w:val="00DE15C5"/>
    <w:rsid w:val="00DE2230"/>
    <w:rsid w:val="00DE3209"/>
    <w:rsid w:val="00DE5644"/>
    <w:rsid w:val="00DF55BB"/>
    <w:rsid w:val="00E0548C"/>
    <w:rsid w:val="00E075B9"/>
    <w:rsid w:val="00E1125C"/>
    <w:rsid w:val="00E144D6"/>
    <w:rsid w:val="00E15E23"/>
    <w:rsid w:val="00E167A3"/>
    <w:rsid w:val="00E17435"/>
    <w:rsid w:val="00E212D2"/>
    <w:rsid w:val="00E237E3"/>
    <w:rsid w:val="00E3065E"/>
    <w:rsid w:val="00E315AC"/>
    <w:rsid w:val="00E37531"/>
    <w:rsid w:val="00E37F99"/>
    <w:rsid w:val="00E438F4"/>
    <w:rsid w:val="00E47C1A"/>
    <w:rsid w:val="00E53507"/>
    <w:rsid w:val="00E54390"/>
    <w:rsid w:val="00E5633D"/>
    <w:rsid w:val="00E56F53"/>
    <w:rsid w:val="00E62E57"/>
    <w:rsid w:val="00E63653"/>
    <w:rsid w:val="00E65D91"/>
    <w:rsid w:val="00E66150"/>
    <w:rsid w:val="00E71684"/>
    <w:rsid w:val="00E72F55"/>
    <w:rsid w:val="00E732BF"/>
    <w:rsid w:val="00E74EE7"/>
    <w:rsid w:val="00E74F85"/>
    <w:rsid w:val="00E75C67"/>
    <w:rsid w:val="00E83B76"/>
    <w:rsid w:val="00E84C5A"/>
    <w:rsid w:val="00E85094"/>
    <w:rsid w:val="00E8651F"/>
    <w:rsid w:val="00E90859"/>
    <w:rsid w:val="00E91315"/>
    <w:rsid w:val="00E91A4B"/>
    <w:rsid w:val="00E9324E"/>
    <w:rsid w:val="00E945B0"/>
    <w:rsid w:val="00EA23AF"/>
    <w:rsid w:val="00EA2E29"/>
    <w:rsid w:val="00EA5191"/>
    <w:rsid w:val="00EA76BD"/>
    <w:rsid w:val="00EB0750"/>
    <w:rsid w:val="00EB4854"/>
    <w:rsid w:val="00EB51C6"/>
    <w:rsid w:val="00EB7237"/>
    <w:rsid w:val="00EC0244"/>
    <w:rsid w:val="00EC2905"/>
    <w:rsid w:val="00EC67CD"/>
    <w:rsid w:val="00EC792B"/>
    <w:rsid w:val="00ED04C2"/>
    <w:rsid w:val="00EF0C68"/>
    <w:rsid w:val="00EF419A"/>
    <w:rsid w:val="00F03A87"/>
    <w:rsid w:val="00F06D1E"/>
    <w:rsid w:val="00F07F11"/>
    <w:rsid w:val="00F1425C"/>
    <w:rsid w:val="00F14EB6"/>
    <w:rsid w:val="00F15941"/>
    <w:rsid w:val="00F15DF0"/>
    <w:rsid w:val="00F2032D"/>
    <w:rsid w:val="00F20A6E"/>
    <w:rsid w:val="00F251BB"/>
    <w:rsid w:val="00F26596"/>
    <w:rsid w:val="00F2777E"/>
    <w:rsid w:val="00F31928"/>
    <w:rsid w:val="00F333B3"/>
    <w:rsid w:val="00F46E37"/>
    <w:rsid w:val="00F51461"/>
    <w:rsid w:val="00F51D3F"/>
    <w:rsid w:val="00F60524"/>
    <w:rsid w:val="00F63F5E"/>
    <w:rsid w:val="00F6590B"/>
    <w:rsid w:val="00F66A0B"/>
    <w:rsid w:val="00F71350"/>
    <w:rsid w:val="00F72514"/>
    <w:rsid w:val="00F72D6B"/>
    <w:rsid w:val="00F74D41"/>
    <w:rsid w:val="00F86645"/>
    <w:rsid w:val="00F91E12"/>
    <w:rsid w:val="00F92740"/>
    <w:rsid w:val="00F92E34"/>
    <w:rsid w:val="00FA0451"/>
    <w:rsid w:val="00FA057D"/>
    <w:rsid w:val="00FA05F4"/>
    <w:rsid w:val="00FA0CC5"/>
    <w:rsid w:val="00FA2D7A"/>
    <w:rsid w:val="00FA51F5"/>
    <w:rsid w:val="00FA5CF9"/>
    <w:rsid w:val="00FA69B5"/>
    <w:rsid w:val="00FA7D7D"/>
    <w:rsid w:val="00FB1DFE"/>
    <w:rsid w:val="00FB27BE"/>
    <w:rsid w:val="00FB48DE"/>
    <w:rsid w:val="00FC281C"/>
    <w:rsid w:val="00FC5FE4"/>
    <w:rsid w:val="00FD0385"/>
    <w:rsid w:val="00FD0D18"/>
    <w:rsid w:val="00FD3520"/>
    <w:rsid w:val="00FD5447"/>
    <w:rsid w:val="00FD6F1A"/>
    <w:rsid w:val="00FE1E8E"/>
    <w:rsid w:val="00FE2AF9"/>
    <w:rsid w:val="00FE42DB"/>
    <w:rsid w:val="00FE5980"/>
    <w:rsid w:val="00FE6436"/>
    <w:rsid w:val="00FF24F6"/>
    <w:rsid w:val="00FF561C"/>
    <w:rsid w:val="00FF6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993387-F533-4D6A-9D61-57E4D52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pPr>
    <w:rPr>
      <w:kern w:val="2"/>
      <w:sz w:val="24"/>
      <w:szCs w:val="24"/>
    </w:rPr>
  </w:style>
  <w:style w:type="paragraph" w:styleId="1">
    <w:name w:val="heading 1"/>
    <w:aliases w:val="章標題"/>
    <w:basedOn w:val="a2"/>
    <w:next w:val="a2"/>
    <w:qFormat/>
    <w:pPr>
      <w:keepNext/>
      <w:numPr>
        <w:numId w:val="23"/>
      </w:numPr>
      <w:adjustRightInd w:val="0"/>
      <w:spacing w:before="180" w:after="180"/>
      <w:textAlignment w:val="baseline"/>
      <w:outlineLvl w:val="0"/>
    </w:pPr>
    <w:rPr>
      <w:rFonts w:ascii="Arial" w:hAnsi="Arial"/>
      <w:b/>
      <w:kern w:val="52"/>
      <w:szCs w:val="20"/>
    </w:rPr>
  </w:style>
  <w:style w:type="paragraph" w:styleId="2">
    <w:name w:val="heading 2"/>
    <w:aliases w:val="節標題"/>
    <w:basedOn w:val="a2"/>
    <w:next w:val="a2"/>
    <w:qFormat/>
    <w:pPr>
      <w:keepNext/>
      <w:numPr>
        <w:ilvl w:val="1"/>
        <w:numId w:val="23"/>
      </w:numPr>
      <w:adjustRightInd w:val="0"/>
      <w:spacing w:line="240" w:lineRule="atLeast"/>
      <w:textAlignment w:val="baseline"/>
      <w:outlineLvl w:val="1"/>
    </w:pPr>
    <w:rPr>
      <w:rFonts w:ascii="Arial" w:hAnsi="Arial"/>
      <w:b/>
      <w:kern w:val="0"/>
      <w:szCs w:val="20"/>
    </w:rPr>
  </w:style>
  <w:style w:type="paragraph" w:styleId="3">
    <w:name w:val="heading 3"/>
    <w:basedOn w:val="a2"/>
    <w:next w:val="a2"/>
    <w:qFormat/>
    <w:pPr>
      <w:keepNext/>
      <w:numPr>
        <w:ilvl w:val="2"/>
        <w:numId w:val="23"/>
      </w:numPr>
      <w:adjustRightInd w:val="0"/>
      <w:spacing w:line="720" w:lineRule="atLeast"/>
      <w:textAlignment w:val="baseline"/>
      <w:outlineLvl w:val="2"/>
    </w:pPr>
    <w:rPr>
      <w:rFonts w:ascii="Arial" w:eastAsia="華康仿宋體W4" w:hAnsi="Arial"/>
      <w:kern w:val="0"/>
      <w:szCs w:val="20"/>
    </w:rPr>
  </w:style>
  <w:style w:type="paragraph" w:styleId="4">
    <w:name w:val="heading 4"/>
    <w:basedOn w:val="a2"/>
    <w:next w:val="a2"/>
    <w:qFormat/>
    <w:pPr>
      <w:keepNext/>
      <w:numPr>
        <w:ilvl w:val="3"/>
        <w:numId w:val="23"/>
      </w:numPr>
      <w:adjustRightInd w:val="0"/>
      <w:spacing w:line="240" w:lineRule="atLeast"/>
      <w:textAlignment w:val="baseline"/>
      <w:outlineLvl w:val="3"/>
    </w:pPr>
    <w:rPr>
      <w:rFonts w:ascii="Arial" w:hAnsi="Arial"/>
      <w:b/>
      <w:kern w:val="0"/>
      <w:szCs w:val="20"/>
    </w:rPr>
  </w:style>
  <w:style w:type="paragraph" w:styleId="5">
    <w:name w:val="heading 5"/>
    <w:aliases w:val="圖標題"/>
    <w:basedOn w:val="a2"/>
    <w:next w:val="a2"/>
    <w:qFormat/>
    <w:pPr>
      <w:keepNext/>
      <w:numPr>
        <w:ilvl w:val="4"/>
        <w:numId w:val="23"/>
      </w:numPr>
      <w:adjustRightInd w:val="0"/>
      <w:spacing w:line="240" w:lineRule="atLeast"/>
      <w:textAlignment w:val="baseline"/>
      <w:outlineLvl w:val="4"/>
    </w:pPr>
    <w:rPr>
      <w:rFonts w:ascii="Arial" w:hAnsi="Arial"/>
      <w:b/>
      <w:kern w:val="0"/>
      <w:szCs w:val="20"/>
    </w:rPr>
  </w:style>
  <w:style w:type="paragraph" w:styleId="6">
    <w:name w:val="heading 6"/>
    <w:basedOn w:val="a2"/>
    <w:next w:val="a2"/>
    <w:qFormat/>
    <w:pPr>
      <w:keepNext/>
      <w:numPr>
        <w:ilvl w:val="5"/>
        <w:numId w:val="23"/>
      </w:numPr>
      <w:adjustRightInd w:val="0"/>
      <w:textAlignment w:val="baseline"/>
      <w:outlineLvl w:val="5"/>
    </w:pPr>
    <w:rPr>
      <w:rFonts w:ascii="Arial" w:hAnsi="Arial"/>
      <w:b/>
      <w:szCs w:val="20"/>
    </w:rPr>
  </w:style>
  <w:style w:type="paragraph" w:styleId="7">
    <w:name w:val="heading 7"/>
    <w:basedOn w:val="a2"/>
    <w:next w:val="a2"/>
    <w:qFormat/>
    <w:pPr>
      <w:keepNext/>
      <w:numPr>
        <w:ilvl w:val="6"/>
        <w:numId w:val="23"/>
      </w:numPr>
      <w:adjustRightInd w:val="0"/>
      <w:spacing w:line="720" w:lineRule="auto"/>
      <w:textAlignment w:val="baseline"/>
      <w:outlineLvl w:val="6"/>
    </w:pPr>
    <w:rPr>
      <w:rFonts w:ascii="Arial" w:hAnsi="Arial"/>
      <w:b/>
      <w:sz w:val="36"/>
      <w:szCs w:val="20"/>
    </w:rPr>
  </w:style>
  <w:style w:type="paragraph" w:styleId="8">
    <w:name w:val="heading 8"/>
    <w:basedOn w:val="a2"/>
    <w:next w:val="a2"/>
    <w:qFormat/>
    <w:pPr>
      <w:keepNext/>
      <w:numPr>
        <w:ilvl w:val="7"/>
        <w:numId w:val="23"/>
      </w:numPr>
      <w:adjustRightInd w:val="0"/>
      <w:spacing w:line="720" w:lineRule="auto"/>
      <w:textAlignment w:val="baseline"/>
      <w:outlineLvl w:val="7"/>
    </w:pPr>
    <w:rPr>
      <w:rFonts w:ascii="Arial" w:hAnsi="Arial"/>
      <w:sz w:val="36"/>
      <w:szCs w:val="20"/>
    </w:rPr>
  </w:style>
  <w:style w:type="paragraph" w:styleId="9">
    <w:name w:val="heading 9"/>
    <w:basedOn w:val="a2"/>
    <w:next w:val="a2"/>
    <w:qFormat/>
    <w:pPr>
      <w:keepNext/>
      <w:numPr>
        <w:ilvl w:val="8"/>
        <w:numId w:val="23"/>
      </w:numPr>
      <w:adjustRightInd w:val="0"/>
      <w:spacing w:line="720" w:lineRule="auto"/>
      <w:textAlignment w:val="baseline"/>
      <w:outlineLvl w:val="8"/>
    </w:pPr>
    <w:rPr>
      <w:rFonts w:ascii="Arial" w:hAnsi="Arial"/>
      <w:sz w:val="36"/>
      <w:szCs w:val="20"/>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a">
    <w:name w:val="條文三"/>
    <w:basedOn w:val="a2"/>
    <w:pPr>
      <w:numPr>
        <w:numId w:val="2"/>
      </w:numPr>
      <w:adjustRightInd w:val="0"/>
      <w:ind w:right="57"/>
      <w:jc w:val="both"/>
      <w:textAlignment w:val="baseline"/>
    </w:pPr>
    <w:rPr>
      <w:rFonts w:ascii="全真楷書" w:eastAsia="全真楷書"/>
      <w:sz w:val="28"/>
      <w:szCs w:val="20"/>
    </w:rPr>
  </w:style>
  <w:style w:type="paragraph" w:styleId="a6">
    <w:name w:val="Block Text"/>
    <w:basedOn w:val="a2"/>
    <w:pPr>
      <w:spacing w:line="360" w:lineRule="exact"/>
      <w:ind w:leftChars="150" w:left="1140" w:right="57" w:hangingChars="390" w:hanging="780"/>
      <w:jc w:val="both"/>
    </w:pPr>
    <w:rPr>
      <w:rFonts w:ascii="標楷體" w:eastAsia="標楷體"/>
      <w:sz w:val="20"/>
    </w:rPr>
  </w:style>
  <w:style w:type="paragraph" w:styleId="30">
    <w:name w:val="Body Text Indent 3"/>
    <w:basedOn w:val="a2"/>
    <w:pPr>
      <w:ind w:leftChars="83" w:left="799" w:hangingChars="300" w:hanging="600"/>
      <w:jc w:val="both"/>
    </w:pPr>
    <w:rPr>
      <w:rFonts w:ascii="標楷體" w:eastAsia="標楷體"/>
      <w:color w:val="0000FF"/>
      <w:sz w:val="20"/>
    </w:rPr>
  </w:style>
  <w:style w:type="paragraph" w:styleId="a7">
    <w:name w:val="Body Text Indent"/>
    <w:basedOn w:val="a2"/>
    <w:pPr>
      <w:spacing w:line="400" w:lineRule="exact"/>
      <w:ind w:leftChars="217" w:left="1047" w:hangingChars="188" w:hanging="526"/>
      <w:jc w:val="both"/>
    </w:pPr>
    <w:rPr>
      <w:rFonts w:ascii="標楷體" w:eastAsia="標楷體"/>
      <w:sz w:val="28"/>
    </w:rPr>
  </w:style>
  <w:style w:type="paragraph" w:styleId="21">
    <w:name w:val="Body Text Indent 2"/>
    <w:basedOn w:val="a2"/>
    <w:pPr>
      <w:tabs>
        <w:tab w:val="left" w:pos="1080"/>
      </w:tabs>
      <w:adjustRightInd w:val="0"/>
      <w:snapToGrid w:val="0"/>
      <w:spacing w:line="400" w:lineRule="exact"/>
      <w:ind w:leftChars="375" w:left="3176" w:hangingChars="813" w:hanging="2276"/>
      <w:textDirection w:val="lrTbV"/>
    </w:pPr>
    <w:rPr>
      <w:rFonts w:ascii="標楷體" w:eastAsia="標楷體"/>
      <w:color w:val="000000"/>
      <w:sz w:val="28"/>
    </w:rPr>
  </w:style>
  <w:style w:type="paragraph" w:styleId="a8">
    <w:name w:val="header"/>
    <w:basedOn w:val="a2"/>
    <w:unhideWhenUsed/>
    <w:pPr>
      <w:tabs>
        <w:tab w:val="center" w:pos="4153"/>
        <w:tab w:val="right" w:pos="8306"/>
      </w:tabs>
      <w:snapToGrid w:val="0"/>
    </w:pPr>
    <w:rPr>
      <w:sz w:val="20"/>
      <w:szCs w:val="20"/>
    </w:rPr>
  </w:style>
  <w:style w:type="character" w:customStyle="1" w:styleId="a9">
    <w:name w:val="頁首 字元"/>
    <w:semiHidden/>
    <w:rPr>
      <w:kern w:val="2"/>
    </w:rPr>
  </w:style>
  <w:style w:type="paragraph" w:styleId="aa">
    <w:name w:val="footer"/>
    <w:aliases w:val="表頁尾"/>
    <w:basedOn w:val="a2"/>
    <w:unhideWhenUsed/>
    <w:pPr>
      <w:tabs>
        <w:tab w:val="center" w:pos="4153"/>
        <w:tab w:val="right" w:pos="8306"/>
      </w:tabs>
      <w:snapToGrid w:val="0"/>
    </w:pPr>
    <w:rPr>
      <w:sz w:val="20"/>
      <w:szCs w:val="20"/>
    </w:rPr>
  </w:style>
  <w:style w:type="character" w:customStyle="1" w:styleId="ab">
    <w:name w:val="頁尾 字元"/>
    <w:semiHidden/>
    <w:rPr>
      <w:kern w:val="2"/>
    </w:rPr>
  </w:style>
  <w:style w:type="paragraph" w:customStyle="1" w:styleId="71">
    <w:name w:val="樣式71"/>
    <w:basedOn w:val="a2"/>
    <w:pPr>
      <w:kinsoku w:val="0"/>
      <w:adjustRightInd w:val="0"/>
      <w:spacing w:line="360" w:lineRule="exact"/>
      <w:ind w:left="1599" w:hanging="1599"/>
      <w:textAlignment w:val="baseline"/>
    </w:pPr>
    <w:rPr>
      <w:rFonts w:eastAsia="全真楷書"/>
      <w:spacing w:val="14"/>
      <w:kern w:val="0"/>
      <w:szCs w:val="20"/>
    </w:rPr>
  </w:style>
  <w:style w:type="paragraph" w:styleId="ac">
    <w:name w:val="List Paragraph"/>
    <w:basedOn w:val="a2"/>
    <w:qFormat/>
    <w:pPr>
      <w:ind w:leftChars="200" w:left="480"/>
    </w:pPr>
    <w:rPr>
      <w:rFonts w:ascii="Calibri" w:hAnsi="Calibri"/>
      <w:szCs w:val="22"/>
    </w:rPr>
  </w:style>
  <w:style w:type="paragraph" w:customStyle="1" w:styleId="a0">
    <w:name w:val="分項段落"/>
    <w:basedOn w:val="a2"/>
    <w:pPr>
      <w:widowControl/>
      <w:numPr>
        <w:numId w:val="22"/>
      </w:numPr>
      <w:wordWrap w:val="0"/>
      <w:snapToGrid w:val="0"/>
      <w:spacing w:line="500" w:lineRule="exact"/>
      <w:jc w:val="both"/>
      <w:textAlignment w:val="baseline"/>
    </w:pPr>
    <w:rPr>
      <w:rFonts w:eastAsia="標楷體"/>
      <w:noProof/>
      <w:kern w:val="0"/>
      <w:sz w:val="32"/>
      <w:szCs w:val="20"/>
    </w:rPr>
  </w:style>
  <w:style w:type="paragraph" w:styleId="ad">
    <w:name w:val="Balloon Text"/>
    <w:basedOn w:val="a2"/>
    <w:semiHidden/>
    <w:rsid w:val="00782E98"/>
    <w:rPr>
      <w:rFonts w:ascii="Arial" w:hAnsi="Arial"/>
      <w:sz w:val="18"/>
      <w:szCs w:val="18"/>
    </w:rPr>
  </w:style>
  <w:style w:type="paragraph" w:styleId="ae">
    <w:name w:val="Body Text"/>
    <w:basedOn w:val="a2"/>
    <w:pPr>
      <w:spacing w:after="120"/>
    </w:pPr>
  </w:style>
  <w:style w:type="character" w:styleId="af">
    <w:name w:val="Hyperlink"/>
    <w:rPr>
      <w:color w:val="0000FF"/>
      <w:u w:val="single"/>
    </w:rPr>
  </w:style>
  <w:style w:type="character" w:styleId="af0">
    <w:name w:val="page number"/>
    <w:basedOn w:val="a3"/>
  </w:style>
  <w:style w:type="paragraph" w:customStyle="1" w:styleId="af1">
    <w:name w:val="本文二"/>
    <w:basedOn w:val="a2"/>
    <w:pPr>
      <w:autoSpaceDE w:val="0"/>
      <w:autoSpaceDN w:val="0"/>
      <w:adjustRightInd w:val="0"/>
      <w:snapToGrid w:val="0"/>
      <w:spacing w:after="120" w:line="400" w:lineRule="exact"/>
      <w:ind w:left="851"/>
      <w:jc w:val="both"/>
      <w:textAlignment w:val="baseline"/>
    </w:pPr>
    <w:rPr>
      <w:rFonts w:ascii="標楷體" w:eastAsia="標楷體"/>
      <w:color w:val="000000"/>
      <w:kern w:val="0"/>
      <w:sz w:val="28"/>
      <w:szCs w:val="20"/>
    </w:rPr>
  </w:style>
  <w:style w:type="paragraph" w:customStyle="1" w:styleId="BodyText2">
    <w:name w:val="Body Text 2"/>
    <w:basedOn w:val="a2"/>
    <w:pPr>
      <w:adjustRightInd w:val="0"/>
      <w:spacing w:line="420" w:lineRule="atLeast"/>
      <w:ind w:left="567" w:firstLine="482"/>
      <w:textAlignment w:val="baseline"/>
    </w:pPr>
    <w:rPr>
      <w:rFonts w:eastAsia="雅真中楷"/>
      <w:szCs w:val="20"/>
    </w:rPr>
  </w:style>
  <w:style w:type="paragraph" w:styleId="22">
    <w:name w:val="Body Text 2"/>
    <w:basedOn w:val="a2"/>
    <w:pPr>
      <w:spacing w:after="120" w:line="480" w:lineRule="auto"/>
    </w:pPr>
  </w:style>
  <w:style w:type="paragraph" w:styleId="Web">
    <w:name w:val="Normal (Web)"/>
    <w:basedOn w:val="a2"/>
    <w:pPr>
      <w:widowControl/>
      <w:spacing w:before="100" w:beforeAutospacing="1" w:after="100" w:afterAutospacing="1"/>
    </w:pPr>
    <w:rPr>
      <w:rFonts w:ascii="新細明體" w:hAnsi="新細明體"/>
      <w:kern w:val="0"/>
    </w:rPr>
  </w:style>
  <w:style w:type="paragraph" w:customStyle="1" w:styleId="af2">
    <w:name w:val="冊標題"/>
    <w:basedOn w:val="a2"/>
    <w:pPr>
      <w:tabs>
        <w:tab w:val="num" w:pos="1080"/>
      </w:tabs>
      <w:topLinePunct/>
      <w:adjustRightInd w:val="0"/>
      <w:snapToGrid w:val="0"/>
      <w:spacing w:before="400" w:after="480"/>
      <w:textAlignment w:val="baseline"/>
      <w:outlineLvl w:val="0"/>
    </w:pPr>
    <w:rPr>
      <w:rFonts w:eastAsia="華康隸書體W5"/>
      <w:b/>
      <w:spacing w:val="4"/>
      <w:kern w:val="0"/>
      <w:sz w:val="52"/>
      <w:szCs w:val="20"/>
    </w:rPr>
  </w:style>
  <w:style w:type="paragraph" w:customStyle="1" w:styleId="20">
    <w:name w:val="節標題2"/>
    <w:basedOn w:val="10"/>
    <w:next w:val="af3"/>
    <w:pPr>
      <w:numPr>
        <w:ilvl w:val="3"/>
        <w:numId w:val="24"/>
      </w:numPr>
      <w:spacing w:before="160"/>
      <w:outlineLvl w:val="3"/>
    </w:pPr>
    <w:rPr>
      <w:sz w:val="30"/>
    </w:rPr>
  </w:style>
  <w:style w:type="paragraph" w:customStyle="1" w:styleId="10">
    <w:name w:val="節標題1"/>
    <w:basedOn w:val="2"/>
    <w:next w:val="af3"/>
    <w:autoRedefine/>
    <w:pPr>
      <w:numPr>
        <w:ilvl w:val="0"/>
        <w:numId w:val="0"/>
      </w:numPr>
      <w:snapToGrid w:val="0"/>
      <w:spacing w:before="120" w:after="60" w:line="520" w:lineRule="atLeast"/>
      <w:ind w:left="1304" w:hanging="1304"/>
      <w:jc w:val="center"/>
      <w:outlineLvl w:val="2"/>
    </w:pPr>
    <w:rPr>
      <w:rFonts w:ascii="Times New Roman" w:eastAsia="華康粗黑體" w:hAnsi="Times New Roman"/>
      <w:b w:val="0"/>
      <w:sz w:val="36"/>
    </w:rPr>
  </w:style>
  <w:style w:type="paragraph" w:styleId="af3">
    <w:name w:val="Normal Indent"/>
    <w:basedOn w:val="a2"/>
    <w:pPr>
      <w:snapToGrid w:val="0"/>
      <w:spacing w:line="360" w:lineRule="atLeast"/>
      <w:ind w:leftChars="200" w:left="480"/>
      <w:jc w:val="both"/>
    </w:pPr>
    <w:rPr>
      <w:rFonts w:eastAsia="華康楷書體W5"/>
      <w:kern w:val="0"/>
      <w:sz w:val="28"/>
    </w:rPr>
  </w:style>
  <w:style w:type="paragraph" w:customStyle="1" w:styleId="11">
    <w:name w:val="一1.1文"/>
    <w:basedOn w:val="af3"/>
    <w:pPr>
      <w:spacing w:before="60" w:after="60" w:line="440" w:lineRule="atLeast"/>
      <w:ind w:leftChars="0" w:left="720" w:firstLine="601"/>
    </w:pPr>
    <w:rPr>
      <w:kern w:val="2"/>
      <w:szCs w:val="20"/>
    </w:rPr>
  </w:style>
  <w:style w:type="paragraph" w:customStyle="1" w:styleId="110">
    <w:name w:val="一1.1"/>
    <w:basedOn w:val="a2"/>
    <w:pPr>
      <w:keepNext/>
      <w:adjustRightInd w:val="0"/>
      <w:snapToGrid w:val="0"/>
      <w:spacing w:before="120" w:after="60" w:line="360" w:lineRule="atLeast"/>
      <w:jc w:val="both"/>
      <w:textAlignment w:val="baseline"/>
      <w:outlineLvl w:val="2"/>
    </w:pPr>
    <w:rPr>
      <w:rFonts w:ascii="Arial" w:eastAsia="華康特粗楷體" w:hAnsi="Arial"/>
      <w:kern w:val="0"/>
      <w:sz w:val="36"/>
      <w:szCs w:val="20"/>
    </w:rPr>
  </w:style>
  <w:style w:type="paragraph" w:customStyle="1" w:styleId="af4">
    <w:name w:val="一(一)"/>
    <w:basedOn w:val="a2"/>
    <w:pPr>
      <w:snapToGrid w:val="0"/>
      <w:spacing w:before="120" w:after="60" w:line="400" w:lineRule="atLeast"/>
      <w:ind w:left="1440" w:hanging="731"/>
    </w:pPr>
    <w:rPr>
      <w:rFonts w:eastAsia="華康楷書體W5"/>
      <w:sz w:val="28"/>
      <w:szCs w:val="20"/>
    </w:rPr>
  </w:style>
  <w:style w:type="paragraph" w:customStyle="1" w:styleId="af5">
    <w:name w:val="一(一)文"/>
    <w:basedOn w:val="a2"/>
    <w:pPr>
      <w:snapToGrid w:val="0"/>
      <w:spacing w:before="60" w:after="60" w:line="440" w:lineRule="atLeast"/>
      <w:ind w:left="1440" w:firstLine="2"/>
      <w:jc w:val="both"/>
    </w:pPr>
    <w:rPr>
      <w:rFonts w:eastAsia="華康楷書體W5"/>
      <w:sz w:val="28"/>
      <w:szCs w:val="20"/>
    </w:rPr>
  </w:style>
  <w:style w:type="paragraph" w:customStyle="1" w:styleId="111">
    <w:name w:val="一1.1.1文"/>
    <w:basedOn w:val="af3"/>
    <w:pPr>
      <w:spacing w:before="60" w:after="60" w:line="440" w:lineRule="atLeast"/>
      <w:ind w:leftChars="0" w:left="720" w:firstLine="601"/>
    </w:pPr>
    <w:rPr>
      <w:kern w:val="2"/>
      <w:szCs w:val="20"/>
    </w:rPr>
  </w:style>
  <w:style w:type="paragraph" w:customStyle="1" w:styleId="af6">
    <w:name w:val="一章標題"/>
    <w:basedOn w:val="a2"/>
    <w:pPr>
      <w:snapToGrid w:val="0"/>
      <w:spacing w:before="360" w:after="360"/>
      <w:jc w:val="center"/>
      <w:outlineLvl w:val="1"/>
    </w:pPr>
    <w:rPr>
      <w:rFonts w:eastAsia="華康特粗楷體"/>
      <w:sz w:val="44"/>
      <w:szCs w:val="20"/>
    </w:rPr>
  </w:style>
  <w:style w:type="paragraph" w:customStyle="1" w:styleId="12">
    <w:name w:val="一1"/>
    <w:basedOn w:val="a2"/>
    <w:pPr>
      <w:snapToGrid w:val="0"/>
      <w:spacing w:before="60" w:after="60" w:line="440" w:lineRule="atLeast"/>
      <w:ind w:left="1440" w:firstLine="2"/>
      <w:jc w:val="both"/>
    </w:pPr>
    <w:rPr>
      <w:rFonts w:eastAsia="華康楷書體W5"/>
      <w:sz w:val="28"/>
      <w:szCs w:val="20"/>
    </w:rPr>
  </w:style>
  <w:style w:type="paragraph" w:customStyle="1" w:styleId="13">
    <w:name w:val="一1文"/>
    <w:basedOn w:val="a2"/>
    <w:pPr>
      <w:snapToGrid w:val="0"/>
      <w:spacing w:before="60" w:after="60" w:line="440" w:lineRule="atLeast"/>
      <w:ind w:left="1920" w:firstLine="2"/>
      <w:jc w:val="both"/>
    </w:pPr>
    <w:rPr>
      <w:rFonts w:eastAsia="華康楷書體W5"/>
      <w:sz w:val="28"/>
      <w:szCs w:val="20"/>
    </w:rPr>
  </w:style>
  <w:style w:type="character" w:styleId="af7">
    <w:name w:val="footnote reference"/>
    <w:semiHidden/>
    <w:rPr>
      <w:vertAlign w:val="superscript"/>
    </w:rPr>
  </w:style>
  <w:style w:type="character" w:styleId="af8">
    <w:name w:val="Strong"/>
    <w:qFormat/>
    <w:rPr>
      <w:b/>
      <w:bCs/>
    </w:rPr>
  </w:style>
  <w:style w:type="paragraph" w:styleId="a1">
    <w:name w:val="footnote text"/>
    <w:basedOn w:val="a2"/>
    <w:semiHidden/>
    <w:pPr>
      <w:numPr>
        <w:numId w:val="24"/>
      </w:numPr>
      <w:tabs>
        <w:tab w:val="clear" w:pos="1080"/>
      </w:tabs>
      <w:adjustRightInd w:val="0"/>
      <w:snapToGrid w:val="0"/>
      <w:spacing w:line="600" w:lineRule="atLeast"/>
      <w:textAlignment w:val="baseline"/>
    </w:pPr>
    <w:rPr>
      <w:rFonts w:eastAsia="華康楷書體W5"/>
      <w:color w:val="000000"/>
      <w:kern w:val="0"/>
      <w:sz w:val="20"/>
      <w:szCs w:val="20"/>
    </w:rPr>
  </w:style>
  <w:style w:type="paragraph" w:styleId="14">
    <w:name w:val="toc 1"/>
    <w:basedOn w:val="a2"/>
    <w:next w:val="a2"/>
    <w:autoRedefine/>
    <w:semiHidden/>
    <w:pPr>
      <w:tabs>
        <w:tab w:val="right" w:leader="dot" w:pos="9060"/>
      </w:tabs>
      <w:snapToGrid w:val="0"/>
      <w:spacing w:line="360" w:lineRule="atLeast"/>
      <w:ind w:left="567" w:hanging="567"/>
      <w:jc w:val="both"/>
    </w:pPr>
    <w:rPr>
      <w:rFonts w:eastAsia="華康楷書體W5"/>
      <w:noProof/>
      <w:kern w:val="0"/>
      <w:sz w:val="28"/>
    </w:rPr>
  </w:style>
  <w:style w:type="character" w:styleId="HTML">
    <w:name w:val="HTML Typewriter"/>
    <w:rPr>
      <w:rFonts w:ascii="Arial Unicode MS" w:eastAsia="Arial Unicode MS" w:hAnsi="Courier New" w:cs="Arial Unicode MS"/>
      <w:sz w:val="20"/>
      <w:szCs w:val="20"/>
    </w:rPr>
  </w:style>
  <w:style w:type="paragraph" w:customStyle="1" w:styleId="af9">
    <w:name w:val="a"/>
    <w:basedOn w:val="a2"/>
    <w:pPr>
      <w:widowControl/>
      <w:snapToGrid w:val="0"/>
      <w:spacing w:before="60" w:after="60" w:line="440" w:lineRule="atLeast"/>
      <w:ind w:left="1440" w:firstLine="2"/>
      <w:jc w:val="both"/>
    </w:pPr>
    <w:rPr>
      <w:rFonts w:eastAsia="Arial Unicode MS"/>
      <w:kern w:val="0"/>
      <w:sz w:val="28"/>
      <w:szCs w:val="28"/>
    </w:rPr>
  </w:style>
  <w:style w:type="paragraph" w:styleId="afa">
    <w:name w:val="Plain Text"/>
    <w:basedOn w:val="a2"/>
    <w:rPr>
      <w:rFonts w:ascii="細明體" w:eastAsia="細明體" w:hAnsi="Courier New"/>
      <w:szCs w:val="20"/>
    </w:rPr>
  </w:style>
  <w:style w:type="paragraph" w:styleId="23">
    <w:name w:val="toc 2"/>
    <w:basedOn w:val="a2"/>
    <w:next w:val="a2"/>
    <w:autoRedefine/>
    <w:semiHidden/>
    <w:pPr>
      <w:tabs>
        <w:tab w:val="right" w:leader="dot" w:pos="9060"/>
      </w:tabs>
      <w:snapToGrid w:val="0"/>
      <w:spacing w:line="360" w:lineRule="atLeast"/>
      <w:ind w:left="1440" w:hanging="1156"/>
      <w:jc w:val="both"/>
    </w:pPr>
    <w:rPr>
      <w:rFonts w:eastAsia="華康楷書體W5"/>
      <w:noProof/>
      <w:kern w:val="0"/>
      <w:sz w:val="28"/>
      <w:szCs w:val="32"/>
    </w:rPr>
  </w:style>
  <w:style w:type="paragraph" w:styleId="31">
    <w:name w:val="toc 3"/>
    <w:basedOn w:val="a2"/>
    <w:next w:val="a2"/>
    <w:autoRedefine/>
    <w:semiHidden/>
    <w:pPr>
      <w:tabs>
        <w:tab w:val="right" w:leader="dot" w:pos="9060"/>
      </w:tabs>
      <w:snapToGrid w:val="0"/>
      <w:spacing w:line="360" w:lineRule="atLeast"/>
      <w:ind w:left="1420"/>
      <w:jc w:val="both"/>
    </w:pPr>
    <w:rPr>
      <w:rFonts w:eastAsia="華康楷書體W5"/>
      <w:noProof/>
      <w:kern w:val="0"/>
      <w:sz w:val="28"/>
    </w:rPr>
  </w:style>
  <w:style w:type="paragraph" w:styleId="40">
    <w:name w:val="toc 4"/>
    <w:basedOn w:val="a2"/>
    <w:next w:val="a2"/>
    <w:autoRedefine/>
    <w:semiHidden/>
    <w:pPr>
      <w:snapToGrid w:val="0"/>
      <w:spacing w:line="360" w:lineRule="atLeast"/>
      <w:ind w:left="1440"/>
      <w:jc w:val="both"/>
    </w:pPr>
    <w:rPr>
      <w:rFonts w:eastAsia="華康楷書體W5"/>
      <w:kern w:val="0"/>
      <w:sz w:val="28"/>
    </w:rPr>
  </w:style>
  <w:style w:type="paragraph" w:styleId="50">
    <w:name w:val="toc 5"/>
    <w:basedOn w:val="a2"/>
    <w:next w:val="a2"/>
    <w:autoRedefine/>
    <w:semiHidden/>
    <w:pPr>
      <w:snapToGrid w:val="0"/>
      <w:spacing w:line="360" w:lineRule="atLeast"/>
      <w:ind w:left="1920"/>
      <w:jc w:val="both"/>
    </w:pPr>
    <w:rPr>
      <w:rFonts w:eastAsia="華康楷書體W5"/>
      <w:kern w:val="0"/>
      <w:sz w:val="28"/>
    </w:rPr>
  </w:style>
  <w:style w:type="paragraph" w:styleId="60">
    <w:name w:val="toc 6"/>
    <w:basedOn w:val="a2"/>
    <w:next w:val="a2"/>
    <w:autoRedefine/>
    <w:semiHidden/>
    <w:pPr>
      <w:snapToGrid w:val="0"/>
      <w:spacing w:line="360" w:lineRule="atLeast"/>
      <w:ind w:left="2400"/>
      <w:jc w:val="both"/>
    </w:pPr>
    <w:rPr>
      <w:rFonts w:eastAsia="華康楷書體W5"/>
      <w:kern w:val="0"/>
      <w:sz w:val="28"/>
    </w:rPr>
  </w:style>
  <w:style w:type="paragraph" w:styleId="70">
    <w:name w:val="toc 7"/>
    <w:basedOn w:val="a2"/>
    <w:next w:val="a2"/>
    <w:autoRedefine/>
    <w:semiHidden/>
    <w:pPr>
      <w:snapToGrid w:val="0"/>
      <w:spacing w:line="360" w:lineRule="atLeast"/>
      <w:ind w:left="2880"/>
      <w:jc w:val="both"/>
    </w:pPr>
    <w:rPr>
      <w:rFonts w:eastAsia="華康楷書體W5"/>
      <w:kern w:val="0"/>
      <w:sz w:val="28"/>
    </w:rPr>
  </w:style>
  <w:style w:type="paragraph" w:styleId="80">
    <w:name w:val="toc 8"/>
    <w:basedOn w:val="a2"/>
    <w:next w:val="a2"/>
    <w:autoRedefine/>
    <w:semiHidden/>
    <w:pPr>
      <w:snapToGrid w:val="0"/>
      <w:spacing w:line="360" w:lineRule="atLeast"/>
      <w:ind w:left="3360"/>
      <w:jc w:val="both"/>
    </w:pPr>
    <w:rPr>
      <w:rFonts w:eastAsia="華康楷書體W5"/>
      <w:kern w:val="0"/>
      <w:sz w:val="28"/>
    </w:rPr>
  </w:style>
  <w:style w:type="paragraph" w:styleId="90">
    <w:name w:val="toc 9"/>
    <w:basedOn w:val="a2"/>
    <w:next w:val="a2"/>
    <w:autoRedefine/>
    <w:semiHidden/>
    <w:pPr>
      <w:snapToGrid w:val="0"/>
      <w:spacing w:line="360" w:lineRule="atLeast"/>
      <w:ind w:left="3840"/>
      <w:jc w:val="both"/>
    </w:pPr>
    <w:rPr>
      <w:rFonts w:eastAsia="華康楷書體W5"/>
      <w:kern w:val="0"/>
      <w:sz w:val="28"/>
    </w:rPr>
  </w:style>
  <w:style w:type="character" w:styleId="afb">
    <w:name w:val="FollowedHyperlink"/>
    <w:rPr>
      <w:color w:val="800080"/>
      <w:u w:val="single"/>
    </w:rPr>
  </w:style>
  <w:style w:type="paragraph" w:customStyle="1" w:styleId="c">
    <w:name w:val="c"/>
    <w:basedOn w:val="a2"/>
    <w:pPr>
      <w:kinsoku w:val="0"/>
      <w:overflowPunct w:val="0"/>
      <w:autoSpaceDE w:val="0"/>
      <w:autoSpaceDN w:val="0"/>
      <w:adjustRightInd w:val="0"/>
      <w:spacing w:line="336" w:lineRule="exact"/>
      <w:ind w:left="476"/>
      <w:textAlignment w:val="baseline"/>
    </w:pPr>
    <w:rPr>
      <w:rFonts w:eastAsia="全真楷書"/>
      <w:kern w:val="0"/>
      <w:szCs w:val="20"/>
    </w:rPr>
  </w:style>
  <w:style w:type="paragraph" w:styleId="afc">
    <w:name w:val="Date"/>
    <w:basedOn w:val="a2"/>
    <w:next w:val="a2"/>
    <w:pPr>
      <w:snapToGrid w:val="0"/>
      <w:spacing w:line="360" w:lineRule="atLeast"/>
      <w:jc w:val="right"/>
    </w:pPr>
    <w:rPr>
      <w:rFonts w:eastAsia="標楷體"/>
      <w:sz w:val="44"/>
      <w:szCs w:val="20"/>
    </w:rPr>
  </w:style>
  <w:style w:type="paragraph" w:customStyle="1" w:styleId="15">
    <w:name w:val="表1"/>
    <w:basedOn w:val="a2"/>
    <w:autoRedefine/>
    <w:pPr>
      <w:autoSpaceDE w:val="0"/>
      <w:autoSpaceDN w:val="0"/>
      <w:adjustRightInd w:val="0"/>
      <w:snapToGrid w:val="0"/>
      <w:spacing w:line="200" w:lineRule="atLeast"/>
      <w:ind w:right="113"/>
      <w:jc w:val="both"/>
      <w:textAlignment w:val="bottom"/>
      <w:outlineLvl w:val="0"/>
    </w:pPr>
    <w:rPr>
      <w:rFonts w:ascii="標楷體" w:eastAsia="標楷體" w:hAnsi="Arial"/>
      <w:sz w:val="28"/>
    </w:rPr>
  </w:style>
  <w:style w:type="paragraph" w:customStyle="1" w:styleId="afd">
    <w:name w:val="一內文"/>
    <w:basedOn w:val="a2"/>
    <w:pPr>
      <w:tabs>
        <w:tab w:val="left" w:pos="812"/>
      </w:tabs>
      <w:adjustRightInd w:val="0"/>
      <w:snapToGrid w:val="0"/>
      <w:spacing w:line="480" w:lineRule="atLeast"/>
      <w:ind w:left="567" w:hanging="567"/>
      <w:jc w:val="both"/>
      <w:textAlignment w:val="baseline"/>
      <w:outlineLvl w:val="0"/>
    </w:pPr>
    <w:rPr>
      <w:rFonts w:ascii="文新字海-粗楷" w:eastAsia="文新字海-粗楷"/>
      <w:kern w:val="0"/>
      <w:sz w:val="28"/>
      <w:szCs w:val="20"/>
    </w:rPr>
  </w:style>
  <w:style w:type="paragraph" w:styleId="afe">
    <w:name w:val="endnote text"/>
    <w:basedOn w:val="a2"/>
    <w:semiHidden/>
    <w:pPr>
      <w:tabs>
        <w:tab w:val="left" w:pos="812"/>
      </w:tabs>
      <w:adjustRightInd w:val="0"/>
      <w:snapToGrid w:val="0"/>
      <w:ind w:left="-14" w:firstLine="588"/>
      <w:jc w:val="both"/>
      <w:outlineLvl w:val="0"/>
    </w:pPr>
    <w:rPr>
      <w:rFonts w:ascii="標楷體" w:eastAsia="全真中仿宋"/>
      <w:sz w:val="28"/>
      <w:szCs w:val="20"/>
    </w:rPr>
  </w:style>
  <w:style w:type="paragraph" w:styleId="aff">
    <w:name w:val="Document Map"/>
    <w:basedOn w:val="a2"/>
    <w:semiHidden/>
    <w:pPr>
      <w:shd w:val="clear" w:color="auto" w:fill="000080"/>
      <w:jc w:val="both"/>
    </w:pPr>
    <w:rPr>
      <w:rFonts w:ascii="Arial" w:hAnsi="Arial"/>
    </w:rPr>
  </w:style>
  <w:style w:type="paragraph" w:styleId="32">
    <w:name w:val="Body Text 3"/>
    <w:basedOn w:val="a2"/>
    <w:pPr>
      <w:jc w:val="center"/>
    </w:pPr>
    <w:rPr>
      <w:rFonts w:ascii="全真粗黑體" w:eastAsia="全真粗黑體" w:hAnsi="新細明體"/>
      <w:sz w:val="72"/>
    </w:rPr>
  </w:style>
  <w:style w:type="paragraph" w:customStyle="1" w:styleId="17">
    <w:name w:val="樣式17"/>
    <w:basedOn w:val="a2"/>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19">
    <w:name w:val="樣式19"/>
    <w:basedOn w:val="a2"/>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7">
    <w:name w:val="樣式27"/>
    <w:basedOn w:val="a2"/>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41">
    <w:name w:val="樣式4"/>
    <w:basedOn w:val="a2"/>
    <w:pPr>
      <w:adjustRightInd w:val="0"/>
      <w:spacing w:line="240" w:lineRule="atLeast"/>
      <w:ind w:left="1588" w:hanging="737"/>
      <w:jc w:val="both"/>
      <w:textDirection w:val="lrTbV"/>
      <w:textAlignment w:val="baseline"/>
    </w:pPr>
    <w:rPr>
      <w:rFonts w:eastAsia="全真楷書"/>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230">
    <w:name w:val="樣式23"/>
    <w:basedOn w:val="220"/>
    <w:pPr>
      <w:ind w:left="3005" w:hanging="737"/>
    </w:pPr>
  </w:style>
  <w:style w:type="paragraph" w:customStyle="1" w:styleId="aff0">
    <w:name w:val="圖"/>
    <w:basedOn w:val="a2"/>
    <w:next w:val="a2"/>
    <w:autoRedefine/>
    <w:pPr>
      <w:framePr w:hSpace="180" w:wrap="around" w:vAnchor="page" w:hAnchor="margin" w:y="1977"/>
      <w:snapToGrid w:val="0"/>
      <w:spacing w:line="280" w:lineRule="exact"/>
      <w:jc w:val="center"/>
    </w:pPr>
    <w:rPr>
      <w:rFonts w:eastAsia="標楷體"/>
      <w:b/>
      <w:spacing w:val="-20"/>
      <w:w w:val="90"/>
    </w:rPr>
  </w:style>
  <w:style w:type="paragraph" w:customStyle="1" w:styleId="aff1">
    <w:name w:val="內容 字元"/>
    <w:basedOn w:val="a2"/>
    <w:pPr>
      <w:adjustRightInd w:val="0"/>
      <w:snapToGrid w:val="0"/>
      <w:spacing w:afterLines="25" w:after="90"/>
      <w:ind w:leftChars="345" w:left="828" w:firstLineChars="200" w:firstLine="520"/>
      <w:jc w:val="both"/>
    </w:pPr>
    <w:rPr>
      <w:rFonts w:eastAsia="標楷體"/>
      <w:sz w:val="26"/>
      <w:szCs w:val="28"/>
    </w:rPr>
  </w:style>
  <w:style w:type="paragraph" w:customStyle="1" w:styleId="16">
    <w:name w:val="(1)標題"/>
    <w:basedOn w:val="a2"/>
    <w:pPr>
      <w:adjustRightInd w:val="0"/>
      <w:snapToGrid w:val="0"/>
      <w:ind w:leftChars="251" w:left="1039" w:hangingChars="156" w:hanging="437"/>
      <w:jc w:val="center"/>
    </w:pPr>
    <w:rPr>
      <w:rFonts w:eastAsia="標楷體"/>
      <w:sz w:val="28"/>
      <w:szCs w:val="26"/>
    </w:rPr>
  </w:style>
  <w:style w:type="paragraph" w:customStyle="1" w:styleId="18">
    <w:name w:val="樣式1"/>
    <w:basedOn w:val="aff2"/>
    <w:pPr>
      <w:adjustRightInd w:val="0"/>
      <w:snapToGrid w:val="0"/>
      <w:spacing w:afterLines="50" w:after="50"/>
      <w:ind w:leftChars="200" w:left="392" w:hangingChars="192" w:hanging="192"/>
    </w:pPr>
    <w:rPr>
      <w:rFonts w:ascii="標楷體" w:eastAsia="標楷體" w:hAnsi="標楷體"/>
      <w:sz w:val="28"/>
      <w:szCs w:val="28"/>
    </w:rPr>
  </w:style>
  <w:style w:type="paragraph" w:styleId="aff2">
    <w:name w:val="table of figures"/>
    <w:basedOn w:val="a2"/>
    <w:next w:val="a2"/>
    <w:semiHidden/>
    <w:pPr>
      <w:ind w:leftChars="400" w:left="960" w:hangingChars="200" w:hanging="480"/>
    </w:pPr>
  </w:style>
  <w:style w:type="paragraph" w:customStyle="1" w:styleId="contextintable">
    <w:name w:val="context in table"/>
    <w:basedOn w:val="context"/>
    <w:pPr>
      <w:spacing w:beforeLines="50" w:before="120"/>
      <w:ind w:leftChars="0" w:left="0" w:right="0" w:firstLineChars="1" w:firstLine="3"/>
      <w:jc w:val="left"/>
    </w:pPr>
    <w:rPr>
      <w:bCs w:val="0"/>
    </w:rPr>
  </w:style>
  <w:style w:type="paragraph" w:customStyle="1" w:styleId="context">
    <w:name w:val="context"/>
    <w:basedOn w:val="a2"/>
    <w:autoRedefine/>
    <w:pPr>
      <w:tabs>
        <w:tab w:val="left" w:pos="-661"/>
      </w:tabs>
      <w:snapToGrid w:val="0"/>
      <w:spacing w:line="240" w:lineRule="atLeast"/>
      <w:ind w:leftChars="-14" w:left="-4" w:right="-81" w:hangingChars="12" w:hanging="30"/>
      <w:jc w:val="center"/>
    </w:pPr>
    <w:rPr>
      <w:rFonts w:eastAsia="細明體"/>
      <w:bCs/>
      <w:w w:val="90"/>
      <w:sz w:val="28"/>
      <w:szCs w:val="28"/>
    </w:rPr>
  </w:style>
  <w:style w:type="paragraph" w:customStyle="1" w:styleId="aff3">
    <w:name w:val="內容"/>
    <w:basedOn w:val="a2"/>
    <w:pPr>
      <w:tabs>
        <w:tab w:val="left" w:pos="-661"/>
      </w:tabs>
      <w:adjustRightInd w:val="0"/>
      <w:snapToGrid w:val="0"/>
      <w:spacing w:after="120" w:line="360" w:lineRule="atLeast"/>
      <w:ind w:left="1134" w:right="113"/>
      <w:jc w:val="center"/>
      <w:textAlignment w:val="baseline"/>
    </w:pPr>
    <w:rPr>
      <w:rFonts w:ascii="標楷體" w:eastAsia="標楷體" w:hAnsi="標楷體"/>
      <w:kern w:val="0"/>
      <w:sz w:val="26"/>
      <w:szCs w:val="26"/>
    </w:rPr>
  </w:style>
  <w:style w:type="paragraph" w:customStyle="1" w:styleId="1a">
    <w:name w:val="樣式(1)"/>
    <w:basedOn w:val="a2"/>
    <w:pPr>
      <w:tabs>
        <w:tab w:val="left" w:pos="-661"/>
      </w:tabs>
      <w:adjustRightInd w:val="0"/>
      <w:snapToGrid w:val="0"/>
      <w:spacing w:before="40" w:after="40" w:line="440" w:lineRule="exact"/>
      <w:ind w:left="1713" w:hanging="454"/>
      <w:jc w:val="both"/>
      <w:textAlignment w:val="baseline"/>
    </w:pPr>
    <w:rPr>
      <w:rFonts w:ascii="標楷體" w:eastAsia="標楷體" w:hAnsi="標楷體"/>
      <w:kern w:val="0"/>
      <w:sz w:val="28"/>
      <w:szCs w:val="20"/>
    </w:rPr>
  </w:style>
  <w:style w:type="paragraph" w:customStyle="1" w:styleId="33">
    <w:name w:val="內文3"/>
    <w:basedOn w:val="34"/>
    <w:pPr>
      <w:ind w:leftChars="700" w:left="700"/>
    </w:pPr>
  </w:style>
  <w:style w:type="paragraph" w:customStyle="1" w:styleId="34">
    <w:name w:val="樣式3"/>
    <w:basedOn w:val="24"/>
    <w:pPr>
      <w:tabs>
        <w:tab w:val="num" w:leader="none" w:pos="1080"/>
        <w:tab w:val="num" w:pos="1920"/>
        <w:tab w:val="left" w:pos="5856"/>
      </w:tabs>
      <w:kinsoku w:val="0"/>
      <w:overflowPunct w:val="0"/>
      <w:autoSpaceDE w:val="0"/>
      <w:autoSpaceDN w:val="0"/>
      <w:spacing w:beforeLines="50" w:before="120"/>
      <w:ind w:leftChars="500" w:left="1760" w:hangingChars="200" w:hanging="560"/>
      <w:textAlignment w:val="baseline"/>
    </w:pPr>
    <w:rPr>
      <w:color w:val="000000"/>
    </w:rPr>
  </w:style>
  <w:style w:type="paragraph" w:customStyle="1" w:styleId="24">
    <w:name w:val="樣式2"/>
    <w:basedOn w:val="18"/>
    <w:pPr>
      <w:spacing w:afterLines="0" w:after="0"/>
      <w:ind w:leftChars="400" w:left="500" w:hangingChars="100" w:hanging="100"/>
    </w:pPr>
  </w:style>
  <w:style w:type="paragraph" w:customStyle="1" w:styleId="aff4">
    <w:name w:val="圖目錄"/>
    <w:basedOn w:val="a2"/>
    <w:pPr>
      <w:keepNext/>
      <w:tabs>
        <w:tab w:val="left" w:pos="-661"/>
      </w:tabs>
      <w:adjustRightInd w:val="0"/>
      <w:snapToGrid w:val="0"/>
      <w:spacing w:beforeLines="50" w:before="50"/>
      <w:ind w:firstLine="561"/>
      <w:jc w:val="center"/>
    </w:pPr>
    <w:rPr>
      <w:rFonts w:ascii="標楷體" w:eastAsia="標楷體" w:hAnsi="標楷體"/>
      <w:sz w:val="28"/>
      <w:szCs w:val="20"/>
    </w:rPr>
  </w:style>
  <w:style w:type="character" w:customStyle="1" w:styleId="25">
    <w:name w:val="標題 2 字元"/>
    <w:aliases w:val="節標題 字元"/>
    <w:rPr>
      <w:rFonts w:ascii="Times New Roman" w:eastAsia="標楷體" w:hAnsi="Times New Roman"/>
      <w:b/>
      <w:bCs/>
      <w:noProof w:val="0"/>
      <w:kern w:val="2"/>
      <w:sz w:val="32"/>
      <w:szCs w:val="48"/>
      <w:lang w:val="en-US" w:eastAsia="zh-TW"/>
    </w:rPr>
  </w:style>
  <w:style w:type="paragraph" w:customStyle="1" w:styleId="1b">
    <w:name w:val="圖1"/>
    <w:basedOn w:val="a2"/>
    <w:pPr>
      <w:widowControl/>
      <w:autoSpaceDE w:val="0"/>
      <w:autoSpaceDN w:val="0"/>
      <w:adjustRightInd w:val="0"/>
      <w:snapToGrid w:val="0"/>
      <w:spacing w:line="200" w:lineRule="atLeast"/>
      <w:ind w:left="868" w:right="113" w:hangingChars="310" w:hanging="868"/>
      <w:jc w:val="center"/>
      <w:textAlignment w:val="bottom"/>
      <w:outlineLvl w:val="0"/>
    </w:pPr>
    <w:rPr>
      <w:rFonts w:ascii="標楷體" w:eastAsia="標楷體" w:hAnsi="Arial" w:cs="Arial"/>
      <w:szCs w:val="20"/>
    </w:rPr>
  </w:style>
  <w:style w:type="paragraph" w:customStyle="1" w:styleId="31205">
    <w:name w:val="樣式 標題 3 + 左:  1 字元 第一行:  2 字元 套用前:  0.5 列"/>
    <w:basedOn w:val="3"/>
    <w:pPr>
      <w:keepNext w:val="0"/>
      <w:numPr>
        <w:ilvl w:val="0"/>
        <w:numId w:val="0"/>
      </w:numPr>
      <w:spacing w:before="40" w:after="40" w:line="440" w:lineRule="exact"/>
      <w:ind w:left="567"/>
      <w:textAlignment w:val="auto"/>
    </w:pPr>
    <w:rPr>
      <w:rFonts w:ascii="Times New Roman" w:eastAsia="標楷體" w:hAnsi="Times New Roman"/>
      <w:b/>
      <w:bCs/>
      <w:kern w:val="2"/>
      <w:sz w:val="28"/>
      <w:szCs w:val="28"/>
    </w:rPr>
  </w:style>
  <w:style w:type="paragraph" w:customStyle="1" w:styleId="aff5">
    <w:name w:val="樣式◎"/>
    <w:basedOn w:val="a2"/>
    <w:pPr>
      <w:adjustRightInd w:val="0"/>
      <w:spacing w:before="40" w:after="40" w:line="440" w:lineRule="exact"/>
      <w:ind w:left="1531" w:hanging="284"/>
      <w:jc w:val="both"/>
      <w:textAlignment w:val="baseline"/>
    </w:pPr>
    <w:rPr>
      <w:rFonts w:eastAsia="標楷體"/>
      <w:kern w:val="0"/>
      <w:sz w:val="28"/>
    </w:rPr>
  </w:style>
  <w:style w:type="paragraph" w:customStyle="1" w:styleId="10-1">
    <w:name w:val="表10-1"/>
    <w:basedOn w:val="a2"/>
    <w:pPr>
      <w:tabs>
        <w:tab w:val="left" w:pos="-661"/>
        <w:tab w:val="left" w:pos="812"/>
      </w:tabs>
      <w:autoSpaceDE w:val="0"/>
      <w:autoSpaceDN w:val="0"/>
      <w:adjustRightInd w:val="0"/>
      <w:snapToGrid w:val="0"/>
      <w:spacing w:after="240"/>
      <w:ind w:left="-14" w:right="113" w:firstLine="588"/>
      <w:jc w:val="center"/>
      <w:textAlignment w:val="bottom"/>
      <w:outlineLvl w:val="0"/>
    </w:pPr>
    <w:rPr>
      <w:rFonts w:ascii="標楷體" w:eastAsia="華康中楷體" w:hAnsi="標楷體"/>
      <w:b/>
      <w:bCs/>
      <w:spacing w:val="30"/>
      <w:kern w:val="0"/>
      <w:sz w:val="28"/>
      <w:szCs w:val="20"/>
    </w:rPr>
  </w:style>
  <w:style w:type="paragraph" w:customStyle="1" w:styleId="context0">
    <w:name w:val="context一"/>
    <w:basedOn w:val="a2"/>
    <w:pPr>
      <w:tabs>
        <w:tab w:val="left" w:pos="-661"/>
      </w:tabs>
      <w:adjustRightInd w:val="0"/>
      <w:snapToGrid w:val="0"/>
      <w:spacing w:before="120" w:after="120" w:line="440" w:lineRule="exact"/>
      <w:ind w:left="1134" w:hanging="567"/>
      <w:jc w:val="both"/>
      <w:textAlignment w:val="baseline"/>
    </w:pPr>
    <w:rPr>
      <w:rFonts w:ascii="標楷體" w:eastAsia="標楷體" w:hAnsi="標楷體"/>
      <w:kern w:val="0"/>
      <w:sz w:val="28"/>
      <w:szCs w:val="20"/>
    </w:rPr>
  </w:style>
  <w:style w:type="paragraph" w:customStyle="1" w:styleId="aff6">
    <w:name w:val="表內文左"/>
    <w:basedOn w:val="a2"/>
    <w:pPr>
      <w:widowControl/>
      <w:adjustRightInd w:val="0"/>
      <w:snapToGrid w:val="0"/>
      <w:spacing w:beforeLines="15" w:before="60" w:afterLines="15" w:after="60"/>
      <w:jc w:val="center"/>
      <w:textAlignment w:val="center"/>
    </w:pPr>
    <w:rPr>
      <w:rFonts w:ascii="標楷體" w:eastAsia="標楷體" w:hAnsi="標楷體"/>
      <w:kern w:val="0"/>
      <w:sz w:val="26"/>
      <w:szCs w:val="26"/>
    </w:rPr>
  </w:style>
  <w:style w:type="paragraph" w:customStyle="1" w:styleId="aff7">
    <w:name w:val="表格目錄"/>
    <w:basedOn w:val="aff2"/>
    <w:autoRedefine/>
    <w:pPr>
      <w:spacing w:beforeLines="50" w:before="120"/>
      <w:ind w:leftChars="0" w:left="0" w:firstLineChars="0" w:firstLine="0"/>
      <w:jc w:val="center"/>
    </w:pPr>
    <w:rPr>
      <w:rFonts w:eastAsia="細明體" w:hAnsi="細明體"/>
      <w:sz w:val="28"/>
      <w:szCs w:val="28"/>
    </w:rPr>
  </w:style>
  <w:style w:type="paragraph" w:customStyle="1" w:styleId="T6">
    <w:name w:val="T6"/>
    <w:basedOn w:val="aff8"/>
    <w:pPr>
      <w:spacing w:after="0"/>
      <w:ind w:left="0" w:firstLine="0"/>
    </w:pPr>
    <w:rPr>
      <w:b/>
    </w:rPr>
  </w:style>
  <w:style w:type="paragraph" w:customStyle="1" w:styleId="aff8">
    <w:name w:val="一"/>
    <w:basedOn w:val="aff9"/>
    <w:pPr>
      <w:spacing w:after="160"/>
    </w:pPr>
    <w:rPr>
      <w:b w:val="0"/>
    </w:rPr>
  </w:style>
  <w:style w:type="paragraph" w:customStyle="1" w:styleId="aff9">
    <w:name w:val="(一)"/>
    <w:basedOn w:val="a2"/>
    <w:pPr>
      <w:adjustRightInd w:val="0"/>
      <w:spacing w:after="120" w:line="360" w:lineRule="atLeast"/>
      <w:ind w:left="1134" w:hanging="1134"/>
      <w:jc w:val="both"/>
      <w:textAlignment w:val="baseline"/>
    </w:pPr>
    <w:rPr>
      <w:rFonts w:ascii="標楷體" w:eastAsia="標楷體"/>
      <w:b/>
      <w:kern w:val="0"/>
      <w:sz w:val="26"/>
      <w:szCs w:val="20"/>
    </w:rPr>
  </w:style>
  <w:style w:type="paragraph" w:customStyle="1" w:styleId="affa">
    <w:name w:val="主標題"/>
    <w:basedOn w:val="a2"/>
    <w:pPr>
      <w:adjustRightInd w:val="0"/>
      <w:spacing w:before="120" w:after="60" w:line="360" w:lineRule="atLeast"/>
      <w:ind w:left="1134" w:hanging="1134"/>
      <w:jc w:val="both"/>
      <w:textAlignment w:val="baseline"/>
    </w:pPr>
    <w:rPr>
      <w:rFonts w:ascii="標楷體" w:eastAsia="標楷體"/>
      <w:b/>
      <w:kern w:val="0"/>
      <w:sz w:val="36"/>
      <w:szCs w:val="20"/>
    </w:rPr>
  </w:style>
  <w:style w:type="paragraph" w:customStyle="1" w:styleId="xl58">
    <w:name w:val="xl58"/>
    <w:basedOn w:val="a2"/>
    <w:pPr>
      <w:widowControl/>
      <w:pBdr>
        <w:left w:val="single" w:sz="4" w:space="0" w:color="auto"/>
        <w:bottom w:val="single" w:sz="8" w:space="0" w:color="000000"/>
        <w:right w:val="single" w:sz="4" w:space="0" w:color="auto"/>
      </w:pBdr>
      <w:spacing w:before="100" w:beforeAutospacing="1" w:after="100" w:afterAutospacing="1"/>
      <w:jc w:val="center"/>
      <w:textAlignment w:val="center"/>
    </w:pPr>
    <w:rPr>
      <w:rFonts w:ascii="標楷體" w:eastAsia="標楷體" w:hAnsi="Arial Unicode MS" w:hint="eastAsia"/>
      <w:kern w:val="0"/>
      <w:sz w:val="20"/>
      <w:szCs w:val="20"/>
    </w:rPr>
  </w:style>
  <w:style w:type="paragraph" w:customStyle="1" w:styleId="26">
    <w:name w:val="內文2"/>
    <w:basedOn w:val="24"/>
    <w:pPr>
      <w:tabs>
        <w:tab w:val="num" w:pos="2027"/>
      </w:tabs>
      <w:ind w:leftChars="500" w:firstLineChars="0" w:firstLine="0"/>
    </w:pPr>
  </w:style>
  <w:style w:type="paragraph" w:customStyle="1" w:styleId="4-1">
    <w:name w:val="樣式4-1"/>
    <w:basedOn w:val="41"/>
    <w:pPr>
      <w:numPr>
        <w:numId w:val="34"/>
      </w:numPr>
      <w:tabs>
        <w:tab w:val="left" w:pos="1920"/>
      </w:tabs>
      <w:kinsoku w:val="0"/>
      <w:overflowPunct w:val="0"/>
      <w:autoSpaceDE w:val="0"/>
      <w:autoSpaceDN w:val="0"/>
      <w:snapToGrid w:val="0"/>
      <w:spacing w:beforeLines="50" w:before="120" w:line="240" w:lineRule="auto"/>
      <w:jc w:val="left"/>
      <w:textDirection w:val="lrTb"/>
    </w:pPr>
    <w:rPr>
      <w:rFonts w:ascii="標楷體" w:eastAsia="標楷體" w:hAnsi="標楷體"/>
      <w:color w:val="000000"/>
      <w:kern w:val="2"/>
      <w:szCs w:val="28"/>
    </w:rPr>
  </w:style>
  <w:style w:type="paragraph" w:customStyle="1" w:styleId="Affb">
    <w:name w:val="A."/>
    <w:basedOn w:val="a2"/>
    <w:pPr>
      <w:autoSpaceDE w:val="0"/>
      <w:autoSpaceDN w:val="0"/>
      <w:adjustRightInd w:val="0"/>
      <w:spacing w:line="420" w:lineRule="atLeast"/>
      <w:ind w:left="2552" w:hanging="425"/>
      <w:jc w:val="both"/>
      <w:textAlignment w:val="bottom"/>
    </w:pPr>
    <w:rPr>
      <w:rFonts w:eastAsia="華康中楷體"/>
      <w:kern w:val="0"/>
      <w:sz w:val="28"/>
      <w:szCs w:val="20"/>
    </w:rPr>
  </w:style>
  <w:style w:type="paragraph" w:customStyle="1" w:styleId="1c">
    <w:name w:val="表 1"/>
    <w:basedOn w:val="a2"/>
    <w:pPr>
      <w:adjustRightInd w:val="0"/>
      <w:jc w:val="both"/>
      <w:textAlignment w:val="baseline"/>
    </w:pPr>
    <w:rPr>
      <w:rFonts w:ascii="文新字海-粗楷" w:eastAsia="文新字海-粗楷"/>
      <w:kern w:val="0"/>
      <w:sz w:val="20"/>
      <w:szCs w:val="20"/>
    </w:rPr>
  </w:style>
  <w:style w:type="paragraph" w:customStyle="1" w:styleId="affc">
    <w:name w:val="密等"/>
    <w:basedOn w:val="a2"/>
    <w:pPr>
      <w:snapToGrid w:val="0"/>
      <w:spacing w:line="300" w:lineRule="exact"/>
    </w:pPr>
    <w:rPr>
      <w:rFonts w:eastAsia="標楷體"/>
      <w:szCs w:val="20"/>
    </w:rPr>
  </w:style>
  <w:style w:type="paragraph" w:customStyle="1" w:styleId="affd">
    <w:name w:val="主旨"/>
    <w:basedOn w:val="a2"/>
    <w:pPr>
      <w:snapToGrid w:val="0"/>
      <w:spacing w:line="500" w:lineRule="exact"/>
      <w:ind w:left="300" w:hangingChars="300" w:hanging="300"/>
      <w:jc w:val="both"/>
    </w:pPr>
    <w:rPr>
      <w:rFonts w:eastAsia="標楷體"/>
      <w:sz w:val="32"/>
      <w:szCs w:val="20"/>
    </w:rPr>
  </w:style>
  <w:style w:type="paragraph" w:customStyle="1" w:styleId="affe">
    <w:name w:val="速別"/>
    <w:basedOn w:val="a2"/>
    <w:pPr>
      <w:snapToGrid w:val="0"/>
      <w:spacing w:line="300" w:lineRule="exact"/>
    </w:pPr>
    <w:rPr>
      <w:rFonts w:eastAsia="標楷體"/>
      <w:szCs w:val="20"/>
    </w:rPr>
  </w:style>
  <w:style w:type="paragraph" w:customStyle="1" w:styleId="afff">
    <w:name w:val="批示欄位"/>
    <w:basedOn w:val="a2"/>
    <w:pPr>
      <w:widowControl/>
      <w:snapToGrid w:val="0"/>
      <w:textAlignment w:val="baseline"/>
    </w:pPr>
    <w:rPr>
      <w:rFonts w:eastAsia="標楷體"/>
      <w:noProof/>
      <w:kern w:val="0"/>
      <w:szCs w:val="20"/>
    </w:rPr>
  </w:style>
  <w:style w:type="paragraph" w:customStyle="1" w:styleId="afff0">
    <w:name w:val="機關名稱"/>
    <w:basedOn w:val="a2"/>
    <w:pPr>
      <w:snapToGrid w:val="0"/>
      <w:spacing w:line="500" w:lineRule="exact"/>
      <w:jc w:val="center"/>
    </w:pPr>
    <w:rPr>
      <w:rFonts w:eastAsia="標楷體"/>
      <w:sz w:val="44"/>
      <w:szCs w:val="20"/>
    </w:rPr>
  </w:style>
  <w:style w:type="paragraph" w:customStyle="1" w:styleId="afff1">
    <w:name w:val="正本"/>
    <w:basedOn w:val="a2"/>
    <w:pPr>
      <w:snapToGrid w:val="0"/>
      <w:spacing w:beforeLines="50" w:before="50" w:line="300" w:lineRule="exact"/>
      <w:ind w:left="300" w:hangingChars="300" w:hanging="300"/>
    </w:pPr>
    <w:rPr>
      <w:rFonts w:eastAsia="標楷體"/>
      <w:szCs w:val="20"/>
    </w:rPr>
  </w:style>
  <w:style w:type="paragraph" w:customStyle="1" w:styleId="afff2">
    <w:name w:val="發文日期"/>
    <w:basedOn w:val="affc"/>
  </w:style>
  <w:style w:type="paragraph" w:customStyle="1" w:styleId="afff3">
    <w:name w:val="發文字號"/>
    <w:basedOn w:val="a2"/>
    <w:pPr>
      <w:snapToGrid w:val="0"/>
      <w:spacing w:line="300" w:lineRule="exact"/>
    </w:pPr>
    <w:rPr>
      <w:rFonts w:eastAsia="標楷體"/>
      <w:szCs w:val="20"/>
    </w:rPr>
  </w:style>
  <w:style w:type="paragraph" w:customStyle="1" w:styleId="afff4">
    <w:name w:val="附件"/>
    <w:basedOn w:val="a2"/>
    <w:pPr>
      <w:snapToGrid w:val="0"/>
      <w:spacing w:afterLines="50" w:after="50" w:line="300" w:lineRule="exact"/>
    </w:pPr>
    <w:rPr>
      <w:rFonts w:eastAsia="標楷體"/>
      <w:szCs w:val="20"/>
    </w:rPr>
  </w:style>
  <w:style w:type="paragraph" w:customStyle="1" w:styleId="afff5">
    <w:name w:val="說明辦法首行"/>
    <w:basedOn w:val="a2"/>
    <w:pPr>
      <w:kinsoku w:val="0"/>
      <w:adjustRightInd w:val="0"/>
      <w:snapToGrid w:val="0"/>
      <w:spacing w:line="500" w:lineRule="exact"/>
      <w:ind w:left="300" w:hangingChars="300" w:hanging="300"/>
      <w:jc w:val="both"/>
    </w:pPr>
    <w:rPr>
      <w:rFonts w:eastAsia="標楷體"/>
      <w:sz w:val="32"/>
      <w:szCs w:val="20"/>
    </w:rPr>
  </w:style>
  <w:style w:type="paragraph" w:customStyle="1" w:styleId="afff6">
    <w:name w:val="首長"/>
    <w:basedOn w:val="affd"/>
    <w:pPr>
      <w:spacing w:line="240" w:lineRule="auto"/>
      <w:ind w:left="0" w:firstLineChars="0" w:firstLine="0"/>
    </w:pPr>
  </w:style>
  <w:style w:type="paragraph" w:customStyle="1" w:styleId="afff7">
    <w:name w:val="副本"/>
    <w:basedOn w:val="a2"/>
    <w:pPr>
      <w:snapToGrid w:val="0"/>
      <w:spacing w:afterLines="50" w:after="50" w:line="300" w:lineRule="exact"/>
      <w:ind w:left="300" w:hangingChars="300" w:hanging="300"/>
    </w:pPr>
    <w:rPr>
      <w:rFonts w:eastAsia="標楷體"/>
      <w:szCs w:val="20"/>
    </w:rPr>
  </w:style>
  <w:style w:type="paragraph" w:customStyle="1" w:styleId="afff8">
    <w:name w:val="受文者"/>
    <w:basedOn w:val="a2"/>
    <w:pPr>
      <w:snapToGrid w:val="0"/>
      <w:spacing w:afterLines="50" w:after="50"/>
      <w:ind w:left="400" w:rightChars="1900" w:right="1900" w:hangingChars="400" w:hanging="400"/>
    </w:pPr>
    <w:rPr>
      <w:rFonts w:eastAsia="標楷體"/>
      <w:sz w:val="32"/>
      <w:szCs w:val="20"/>
    </w:rPr>
  </w:style>
  <w:style w:type="paragraph" w:customStyle="1" w:styleId="afff9">
    <w:name w:val="郵遞區號"/>
    <w:basedOn w:val="a2"/>
    <w:pPr>
      <w:snapToGrid w:val="0"/>
      <w:spacing w:beforeLines="100" w:before="100" w:line="240" w:lineRule="exact"/>
      <w:ind w:rightChars="1900" w:right="1900"/>
    </w:pPr>
    <w:rPr>
      <w:rFonts w:eastAsia="標楷體"/>
      <w:szCs w:val="20"/>
    </w:rPr>
  </w:style>
  <w:style w:type="paragraph" w:customStyle="1" w:styleId="afffa">
    <w:name w:val="地址"/>
    <w:basedOn w:val="a2"/>
    <w:pPr>
      <w:snapToGrid w:val="0"/>
      <w:spacing w:line="240" w:lineRule="exact"/>
      <w:ind w:left="300" w:hangingChars="300" w:hanging="300"/>
    </w:pPr>
    <w:rPr>
      <w:rFonts w:eastAsia="標楷體"/>
      <w:szCs w:val="20"/>
    </w:rPr>
  </w:style>
  <w:style w:type="paragraph" w:customStyle="1" w:styleId="afffb">
    <w:name w:val="流水號"/>
    <w:basedOn w:val="afa"/>
    <w:pPr>
      <w:adjustRightInd w:val="0"/>
      <w:snapToGrid w:val="0"/>
      <w:jc w:val="center"/>
    </w:pPr>
    <w:rPr>
      <w:rFonts w:ascii="標楷體" w:eastAsia="標楷體" w:cs="Courier New"/>
      <w:szCs w:val="24"/>
    </w:rPr>
  </w:style>
  <w:style w:type="paragraph" w:customStyle="1" w:styleId="afffc">
    <w:name w:val="受文者地址"/>
    <w:basedOn w:val="a2"/>
    <w:pPr>
      <w:snapToGrid w:val="0"/>
      <w:spacing w:line="240" w:lineRule="exact"/>
      <w:ind w:rightChars="1900" w:right="1900"/>
    </w:pPr>
    <w:rPr>
      <w:rFonts w:eastAsia="標楷體"/>
      <w:szCs w:val="20"/>
    </w:rPr>
  </w:style>
  <w:style w:type="paragraph" w:customStyle="1" w:styleId="afffd">
    <w:name w:val="分層負責章"/>
    <w:pPr>
      <w:spacing w:line="240" w:lineRule="exact"/>
    </w:pPr>
    <w:rPr>
      <w:rFonts w:eastAsia="標楷體"/>
      <w:spacing w:val="-10"/>
      <w:sz w:val="24"/>
    </w:rPr>
  </w:style>
  <w:style w:type="paragraph" w:customStyle="1" w:styleId="4-1TimesNewRoman">
    <w:name w:val="樣式 樣式4-1 + (拉丁) Times New Roman (中文) 細明體"/>
    <w:basedOn w:val="4-1"/>
    <w:rPr>
      <w:rFonts w:ascii="Times New Roman" w:eastAsia="細明體" w:hAnsi="Times New Roman"/>
    </w:rPr>
  </w:style>
  <w:style w:type="paragraph" w:customStyle="1" w:styleId="afffe">
    <w:name w:val="條文一"/>
    <w:basedOn w:val="a2"/>
    <w:pPr>
      <w:adjustRightInd w:val="0"/>
      <w:ind w:left="512" w:right="57" w:hanging="540"/>
      <w:jc w:val="both"/>
      <w:textAlignment w:val="baseline"/>
    </w:pPr>
    <w:rPr>
      <w:rFonts w:ascii="全真楷書" w:eastAsia="全真楷書"/>
      <w:sz w:val="28"/>
      <w:szCs w:val="20"/>
    </w:rPr>
  </w:style>
  <w:style w:type="paragraph" w:customStyle="1" w:styleId="affff">
    <w:name w:val="條文二"/>
    <w:basedOn w:val="a2"/>
    <w:pPr>
      <w:adjustRightInd w:val="0"/>
      <w:ind w:left="512" w:right="57"/>
      <w:jc w:val="both"/>
      <w:textAlignment w:val="baseline"/>
    </w:pPr>
    <w:rPr>
      <w:rFonts w:ascii="全真楷書" w:eastAsia="全真楷書"/>
      <w:sz w:val="28"/>
      <w:szCs w:val="20"/>
    </w:rPr>
  </w:style>
  <w:style w:type="paragraph" w:customStyle="1" w:styleId="300">
    <w:name w:val="30"/>
    <w:basedOn w:val="a2"/>
    <w:rsid w:val="00D8172A"/>
    <w:pPr>
      <w:spacing w:line="400" w:lineRule="exact"/>
      <w:ind w:leftChars="350" w:left="1400" w:hangingChars="200" w:hanging="560"/>
      <w:jc w:val="both"/>
    </w:pPr>
    <w:rPr>
      <w:rFonts w:eastAsia="標楷體"/>
      <w:color w:val="000000"/>
      <w:sz w:val="28"/>
    </w:rPr>
  </w:style>
  <w:style w:type="paragraph" w:styleId="HTML0">
    <w:name w:val="HTML Preformatted"/>
    <w:basedOn w:val="a2"/>
    <w:rsid w:val="00DC4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d">
    <w:name w:val=" 字元 字元1 字元 字元 字元"/>
    <w:basedOn w:val="a2"/>
    <w:rsid w:val="00040375"/>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subject/>
  <dc:creator>user</dc:creator>
  <cp:keywords/>
  <dc:description/>
  <cp:lastModifiedBy>吳慶聰</cp:lastModifiedBy>
  <cp:revision>2</cp:revision>
  <cp:lastPrinted>2019-11-15T05:55:00Z</cp:lastPrinted>
  <dcterms:created xsi:type="dcterms:W3CDTF">2025-05-29T06:18:00Z</dcterms:created>
  <dcterms:modified xsi:type="dcterms:W3CDTF">2025-05-29T06:18:00Z</dcterms:modified>
</cp:coreProperties>
</file>